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7.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8.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9.xml" ContentType="application/vnd.openxmlformats-officedocument.drawingml.chartshapes+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0.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11.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1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5B3BC" w14:textId="4B6912EB" w:rsidR="008B7AC9" w:rsidRPr="00B90A24" w:rsidRDefault="00595FF1" w:rsidP="00D7338C">
      <w:pPr>
        <w:spacing w:after="0" w:line="240" w:lineRule="auto"/>
        <w:ind w:left="567" w:right="1031"/>
        <w:jc w:val="both"/>
        <w:rPr>
          <w:rFonts w:eastAsia="Times New Roman" w:cs="Times New Roman"/>
          <w:b/>
          <w:color w:val="0070C0"/>
          <w:sz w:val="28"/>
          <w:szCs w:val="28"/>
        </w:rPr>
      </w:pPr>
      <w:bookmarkStart w:id="0" w:name="_Hlk27119962"/>
      <w:r w:rsidRPr="00B90A24">
        <w:rPr>
          <w:rFonts w:eastAsia="Times New Roman" w:cs="Times New Roman"/>
          <w:b/>
          <w:color w:val="0070C0"/>
          <w:sz w:val="28"/>
          <w:szCs w:val="28"/>
        </w:rPr>
        <w:t>TAX BASE EROSION AND CORPORATE PROFIT SHIFTING: AFRICA IN INTERNATIONAL COMPARATIVE PERSPECTIVE</w:t>
      </w:r>
    </w:p>
    <w:p w14:paraId="3688A085" w14:textId="743F156F" w:rsidR="00A9558A" w:rsidRDefault="00A9558A" w:rsidP="00B90A24">
      <w:pPr>
        <w:spacing w:after="0" w:line="240" w:lineRule="auto"/>
        <w:ind w:left="567" w:right="1031"/>
        <w:jc w:val="both"/>
        <w:rPr>
          <w:rFonts w:eastAsia="Times New Roman" w:cs="Times New Roman"/>
          <w:color w:val="0070C0"/>
          <w:sz w:val="28"/>
          <w:szCs w:val="28"/>
        </w:rPr>
      </w:pPr>
      <w:r w:rsidRPr="00B90A24">
        <w:rPr>
          <w:rFonts w:eastAsia="Times New Roman" w:cs="Times New Roman"/>
          <w:color w:val="0070C0"/>
          <w:sz w:val="28"/>
          <w:szCs w:val="28"/>
        </w:rPr>
        <w:t>Rachel Etter-Phoya, Markus Meinzer and Shanna</w:t>
      </w:r>
      <w:r w:rsidR="003B6B06" w:rsidRPr="00B90A24">
        <w:rPr>
          <w:rFonts w:eastAsia="Times New Roman" w:cs="Times New Roman"/>
          <w:color w:val="0070C0"/>
          <w:sz w:val="28"/>
          <w:szCs w:val="28"/>
        </w:rPr>
        <w:t xml:space="preserve"> Nogueira</w:t>
      </w:r>
      <w:r w:rsidRPr="00B90A24">
        <w:rPr>
          <w:rFonts w:eastAsia="Times New Roman" w:cs="Times New Roman"/>
          <w:color w:val="0070C0"/>
          <w:sz w:val="28"/>
          <w:szCs w:val="28"/>
        </w:rPr>
        <w:t xml:space="preserve"> Lima</w:t>
      </w:r>
      <w:r w:rsidR="00B90A24" w:rsidRPr="00B90A24">
        <w:rPr>
          <w:rStyle w:val="FootnoteReference"/>
          <w:rFonts w:eastAsia="Times New Roman" w:cs="Times New Roman"/>
          <w:color w:val="0070C0"/>
          <w:sz w:val="28"/>
          <w:szCs w:val="28"/>
        </w:rPr>
        <w:footnoteReference w:customMarkFollows="1" w:id="2"/>
        <w:sym w:font="Symbol" w:char="F02A"/>
      </w:r>
    </w:p>
    <w:p w14:paraId="3326324B" w14:textId="77777777" w:rsidR="00B90A24" w:rsidRPr="00B90A24" w:rsidRDefault="00B90A24" w:rsidP="00B90A24">
      <w:pPr>
        <w:spacing w:after="0" w:line="240" w:lineRule="auto"/>
        <w:ind w:left="567" w:right="1031"/>
        <w:jc w:val="both"/>
        <w:rPr>
          <w:rFonts w:eastAsia="Times New Roman" w:cs="Times New Roman"/>
          <w:color w:val="0070C0"/>
          <w:sz w:val="28"/>
          <w:szCs w:val="28"/>
        </w:rPr>
      </w:pPr>
    </w:p>
    <w:p w14:paraId="022A7296" w14:textId="45CEC628" w:rsidR="00B90A24" w:rsidRPr="00B90A24" w:rsidRDefault="00B90A24" w:rsidP="00B90A24">
      <w:pPr>
        <w:spacing w:after="0" w:line="240" w:lineRule="auto"/>
        <w:ind w:left="567" w:right="1031"/>
        <w:jc w:val="both"/>
        <w:rPr>
          <w:rFonts w:eastAsia="Times New Roman" w:cs="Times New Roman"/>
          <w:b/>
          <w:color w:val="0070C0"/>
          <w:sz w:val="28"/>
          <w:szCs w:val="28"/>
        </w:rPr>
      </w:pPr>
      <w:r w:rsidRPr="00B90A24">
        <w:rPr>
          <w:rFonts w:eastAsia="Times New Roman" w:cs="Times New Roman"/>
          <w:b/>
          <w:noProof/>
          <w:color w:val="0070C0"/>
          <w:sz w:val="28"/>
          <w:szCs w:val="28"/>
        </w:rPr>
        <mc:AlternateContent>
          <mc:Choice Requires="wps">
            <w:drawing>
              <wp:anchor distT="0" distB="0" distL="114300" distR="114300" simplePos="0" relativeHeight="251659264" behindDoc="0" locked="0" layoutInCell="1" allowOverlap="1" wp14:anchorId="2894D49C" wp14:editId="55B70C20">
                <wp:simplePos x="0" y="0"/>
                <wp:positionH relativeFrom="column">
                  <wp:posOffset>249736</wp:posOffset>
                </wp:positionH>
                <wp:positionV relativeFrom="paragraph">
                  <wp:posOffset>52342</wp:posOffset>
                </wp:positionV>
                <wp:extent cx="5747658" cy="0"/>
                <wp:effectExtent l="0" t="0" r="18415" b="12700"/>
                <wp:wrapNone/>
                <wp:docPr id="9" name="Straight Connector 9"/>
                <wp:cNvGraphicFramePr/>
                <a:graphic xmlns:a="http://schemas.openxmlformats.org/drawingml/2006/main">
                  <a:graphicData uri="http://schemas.microsoft.com/office/word/2010/wordprocessingShape">
                    <wps:wsp>
                      <wps:cNvCnPr/>
                      <wps:spPr>
                        <a:xfrm flipV="1">
                          <a:off x="0" y="0"/>
                          <a:ext cx="57476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03B72"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4.1pt" to="472.2pt,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" strokecolor="#4472c4 [3204]" strokeweight=".5pt">
                <v:stroke joinstyle="miter"/>
              </v:line>
            </w:pict>
          </mc:Fallback>
        </mc:AlternateContent>
      </w:r>
    </w:p>
    <w:p w14:paraId="70BAE830" w14:textId="57CBA636" w:rsidR="00595FF1" w:rsidRPr="00B90A24" w:rsidRDefault="00595FF1" w:rsidP="00B90A24">
      <w:pPr>
        <w:spacing w:after="0" w:line="240" w:lineRule="auto"/>
        <w:ind w:left="567" w:right="1031"/>
        <w:jc w:val="both"/>
        <w:rPr>
          <w:rFonts w:eastAsia="Times New Roman" w:cs="Times New Roman"/>
          <w:b/>
          <w:i/>
          <w:color w:val="0070C0"/>
          <w:szCs w:val="24"/>
        </w:rPr>
      </w:pPr>
      <w:r w:rsidRPr="00B90A24">
        <w:rPr>
          <w:rFonts w:eastAsia="Times New Roman" w:cs="Times New Roman"/>
          <w:b/>
          <w:i/>
          <w:color w:val="0070C0"/>
          <w:szCs w:val="24"/>
        </w:rPr>
        <w:t>Abstract</w:t>
      </w:r>
    </w:p>
    <w:bookmarkEnd w:id="0"/>
    <w:p w14:paraId="727E8AB3" w14:textId="23E614C1" w:rsidR="00595FF1" w:rsidRPr="00B90A24" w:rsidRDefault="008B7AC9" w:rsidP="00B90A24">
      <w:pPr>
        <w:spacing w:after="0" w:line="240" w:lineRule="auto"/>
        <w:ind w:left="567" w:right="1031"/>
        <w:jc w:val="both"/>
        <w:rPr>
          <w:rFonts w:cs="Times New Roman"/>
          <w:i/>
          <w:szCs w:val="24"/>
          <w:shd w:val="clear" w:color="auto" w:fill="FFFFFF"/>
        </w:rPr>
      </w:pPr>
      <w:r w:rsidRPr="00B90A24">
        <w:rPr>
          <w:rFonts w:cs="Times New Roman"/>
          <w:i/>
          <w:szCs w:val="24"/>
          <w:shd w:val="clear" w:color="auto" w:fill="FFFFFF"/>
        </w:rPr>
        <w:t>Each year, base erosion and profit shifting cost governments worldwide between US$100bn and US$</w:t>
      </w:r>
      <w:r w:rsidR="004256E2" w:rsidRPr="00B90A24">
        <w:rPr>
          <w:rFonts w:cs="Times New Roman"/>
          <w:i/>
          <w:szCs w:val="24"/>
          <w:shd w:val="clear" w:color="auto" w:fill="FFFFFF"/>
        </w:rPr>
        <w:t>600bn</w:t>
      </w:r>
      <w:r w:rsidR="00062A5E" w:rsidRPr="00B90A24">
        <w:rPr>
          <w:rFonts w:cs="Times New Roman"/>
          <w:i/>
          <w:szCs w:val="24"/>
          <w:shd w:val="clear" w:color="auto" w:fill="FFFFFF"/>
        </w:rPr>
        <w:t xml:space="preserve">, which </w:t>
      </w:r>
      <w:r w:rsidRPr="00B90A24">
        <w:rPr>
          <w:rFonts w:cs="Times New Roman"/>
          <w:i/>
          <w:szCs w:val="24"/>
          <w:shd w:val="clear" w:color="auto" w:fill="FFFFFF"/>
        </w:rPr>
        <w:t xml:space="preserve">undermines financing for development and deepens inequality. This </w:t>
      </w:r>
      <w:r w:rsidR="009C4E16" w:rsidRPr="00B90A24">
        <w:rPr>
          <w:rFonts w:cs="Times New Roman"/>
          <w:i/>
          <w:szCs w:val="24"/>
          <w:shd w:val="clear" w:color="auto" w:fill="FFFFFF"/>
        </w:rPr>
        <w:t>article</w:t>
      </w:r>
      <w:r w:rsidRPr="00B90A24">
        <w:rPr>
          <w:rFonts w:cs="Times New Roman"/>
          <w:i/>
          <w:szCs w:val="24"/>
          <w:shd w:val="clear" w:color="auto" w:fill="FFFFFF"/>
        </w:rPr>
        <w:t xml:space="preserve"> examines how African nations in comparison to other countries contribute to and counter base erosion and profit shifting by multinational companies through analysis of </w:t>
      </w:r>
      <w:r w:rsidR="004E3D2A" w:rsidRPr="00B90A24">
        <w:rPr>
          <w:rFonts w:cs="Times New Roman"/>
          <w:i/>
          <w:szCs w:val="24"/>
          <w:shd w:val="clear" w:color="auto" w:fill="FFFFFF"/>
        </w:rPr>
        <w:t xml:space="preserve">the </w:t>
      </w:r>
      <w:r w:rsidRPr="00B90A24">
        <w:rPr>
          <w:rFonts w:cs="Times New Roman"/>
          <w:i/>
          <w:szCs w:val="24"/>
          <w:shd w:val="clear" w:color="auto" w:fill="FFFFFF"/>
        </w:rPr>
        <w:t xml:space="preserve">lowest available corporate income tax rates, tax exemptions, transparency provisions, anti-avoidance measures, and double tax treaty networks. To do this, </w:t>
      </w:r>
      <w:r w:rsidR="00E74709" w:rsidRPr="00B90A24">
        <w:rPr>
          <w:rFonts w:cs="Times New Roman"/>
          <w:i/>
          <w:szCs w:val="24"/>
          <w:shd w:val="clear" w:color="auto" w:fill="FFFFFF"/>
        </w:rPr>
        <w:t xml:space="preserve">the </w:t>
      </w:r>
      <w:r w:rsidR="009C4E16" w:rsidRPr="00B90A24">
        <w:rPr>
          <w:rFonts w:cs="Times New Roman"/>
          <w:i/>
          <w:szCs w:val="24"/>
          <w:shd w:val="clear" w:color="auto" w:fill="FFFFFF"/>
        </w:rPr>
        <w:t>article</w:t>
      </w:r>
      <w:r w:rsidRPr="00B90A24">
        <w:rPr>
          <w:rFonts w:cs="Times New Roman"/>
          <w:i/>
          <w:szCs w:val="24"/>
          <w:shd w:val="clear" w:color="auto" w:fill="FFFFFF"/>
        </w:rPr>
        <w:t xml:space="preserve"> draws on the Corporate Tax Haven Index dataset produced by the Tax Justice Network in 2019, in which the legal framework and practices of 64 jurisdictions including nine African countries are assessed to measure the risks of tax avoidance, base erosion and profit shifting, profit misalignment, and the race to the bottom in corporate income taxation. The findings show that, on average, African countries contribute much less to the problem of tax avoidance than EU and OECD member states and their dependencies. In contrast, however, African </w:t>
      </w:r>
      <w:r w:rsidR="004E3D2A" w:rsidRPr="00B90A24">
        <w:rPr>
          <w:rFonts w:cs="Times New Roman"/>
          <w:i/>
          <w:szCs w:val="24"/>
          <w:shd w:val="clear" w:color="auto" w:fill="FFFFFF"/>
        </w:rPr>
        <w:t xml:space="preserve">countries </w:t>
      </w:r>
      <w:r w:rsidRPr="00B90A24">
        <w:rPr>
          <w:rFonts w:cs="Times New Roman"/>
          <w:i/>
          <w:szCs w:val="24"/>
          <w:shd w:val="clear" w:color="auto" w:fill="FFFFFF"/>
        </w:rPr>
        <w:t>offer more profit-based tax incentives, including tax holidays and economic zones, in a bid to attract foreign direct investment but often with unintended consequences. Further, transparency and anti-avoidance measures are not as robust in African countries as in the EU and OECD, which signals space for policy improvements to curb corporate tax abuse. The Corporate Tax Haven Index also reveals the distortions introduced in academic studies and development policy that rely on the highest statutory corporate tax rates and disregard reductions that may be extended to a company based on the business size, sector, location, or other factors.</w:t>
      </w:r>
    </w:p>
    <w:p w14:paraId="63DDD3C6" w14:textId="77777777" w:rsidR="00595FF1" w:rsidRPr="00B90A24" w:rsidRDefault="00595FF1" w:rsidP="00B90A24">
      <w:pPr>
        <w:spacing w:after="0" w:line="240" w:lineRule="auto"/>
        <w:ind w:left="567" w:right="1031"/>
        <w:jc w:val="both"/>
        <w:rPr>
          <w:rFonts w:cs="Times New Roman"/>
          <w:i/>
          <w:szCs w:val="24"/>
          <w:shd w:val="clear" w:color="auto" w:fill="FFFFFF"/>
        </w:rPr>
      </w:pPr>
    </w:p>
    <w:p w14:paraId="4091721A" w14:textId="2AFC5FE7" w:rsidR="008173A4" w:rsidRDefault="00B90A24" w:rsidP="00B90A24">
      <w:pPr>
        <w:spacing w:after="0" w:line="240" w:lineRule="auto"/>
        <w:ind w:right="1031" w:firstLine="426"/>
        <w:jc w:val="both"/>
        <w:rPr>
          <w:rFonts w:cs="Times New Roman"/>
          <w:i/>
          <w:szCs w:val="24"/>
          <w:shd w:val="clear" w:color="auto" w:fill="FFFFFF"/>
        </w:rPr>
      </w:pPr>
      <w:r>
        <w:rPr>
          <w:rFonts w:cs="Times New Roman"/>
          <w:b/>
          <w:i/>
          <w:szCs w:val="24"/>
          <w:shd w:val="clear" w:color="auto" w:fill="FFFFFF"/>
        </w:rPr>
        <w:t xml:space="preserve">  </w:t>
      </w:r>
      <w:r w:rsidR="008B7AC9" w:rsidRPr="00B90A24">
        <w:rPr>
          <w:rFonts w:cs="Times New Roman"/>
          <w:b/>
          <w:i/>
          <w:szCs w:val="24"/>
          <w:shd w:val="clear" w:color="auto" w:fill="FFFFFF"/>
        </w:rPr>
        <w:t>Key words:</w:t>
      </w:r>
      <w:r w:rsidR="00E74709" w:rsidRPr="00B90A24">
        <w:rPr>
          <w:rFonts w:cs="Times New Roman"/>
          <w:b/>
          <w:i/>
          <w:szCs w:val="24"/>
          <w:shd w:val="clear" w:color="auto" w:fill="FFFFFF"/>
        </w:rPr>
        <w:t xml:space="preserve"> </w:t>
      </w:r>
      <w:r w:rsidR="00E74709" w:rsidRPr="00B90A24">
        <w:rPr>
          <w:rFonts w:cs="Times New Roman"/>
          <w:i/>
          <w:szCs w:val="24"/>
          <w:shd w:val="clear" w:color="auto" w:fill="FFFFFF"/>
        </w:rPr>
        <w:t>tax havens, tax incentives, illicit financial flows</w:t>
      </w:r>
    </w:p>
    <w:p w14:paraId="2EF7EB06" w14:textId="77777777" w:rsidR="00C5141D" w:rsidRPr="00B90A24" w:rsidRDefault="00C5141D" w:rsidP="00B90A24">
      <w:pPr>
        <w:spacing w:after="0" w:line="240" w:lineRule="auto"/>
        <w:ind w:right="1031" w:firstLine="426"/>
        <w:jc w:val="both"/>
        <w:rPr>
          <w:rFonts w:cs="Times New Roman"/>
          <w:i/>
          <w:szCs w:val="24"/>
          <w:shd w:val="clear" w:color="auto" w:fill="FFFFFF"/>
        </w:rPr>
      </w:pPr>
    </w:p>
    <w:p w14:paraId="22F65281" w14:textId="3DE9AF8E" w:rsidR="00640DBF" w:rsidRPr="00B90A24" w:rsidRDefault="00640DBF" w:rsidP="00B90A24">
      <w:pPr>
        <w:spacing w:after="0" w:line="240" w:lineRule="auto"/>
        <w:ind w:left="567" w:right="1031"/>
        <w:rPr>
          <w:sz w:val="28"/>
          <w:szCs w:val="28"/>
        </w:rPr>
      </w:pPr>
    </w:p>
    <w:p w14:paraId="141F3F91" w14:textId="48300EAE" w:rsidR="00574486" w:rsidRPr="00B90A24" w:rsidRDefault="00A9558A" w:rsidP="00B90A24">
      <w:pPr>
        <w:pStyle w:val="Heading1"/>
        <w:spacing w:before="0" w:line="240" w:lineRule="auto"/>
        <w:ind w:left="567" w:right="1031" w:hanging="141"/>
        <w:rPr>
          <w:color w:val="0070C0"/>
          <w:sz w:val="28"/>
        </w:rPr>
      </w:pPr>
      <w:r w:rsidRPr="00B90A24">
        <w:rPr>
          <w:color w:val="0070C0"/>
          <w:sz w:val="28"/>
        </w:rPr>
        <w:lastRenderedPageBreak/>
        <w:t>INTRODUCTION</w:t>
      </w:r>
    </w:p>
    <w:p w14:paraId="5B298E63" w14:textId="77777777" w:rsidR="00A9558A" w:rsidRPr="00B90A24" w:rsidRDefault="00A9558A" w:rsidP="00B90A24">
      <w:pPr>
        <w:spacing w:after="0" w:line="240" w:lineRule="auto"/>
        <w:jc w:val="both"/>
        <w:rPr>
          <w:sz w:val="28"/>
          <w:szCs w:val="28"/>
          <w:lang w:val="de-DE"/>
        </w:rPr>
      </w:pPr>
    </w:p>
    <w:p w14:paraId="35F7B924" w14:textId="0779E55A" w:rsidR="003430EA" w:rsidRPr="00B90A24" w:rsidRDefault="00062A5E" w:rsidP="00B90A24">
      <w:pPr>
        <w:spacing w:after="0" w:line="240" w:lineRule="auto"/>
        <w:ind w:left="709" w:right="1031"/>
        <w:jc w:val="both"/>
        <w:rPr>
          <w:sz w:val="28"/>
          <w:szCs w:val="28"/>
        </w:rPr>
      </w:pPr>
      <w:r w:rsidRPr="00B90A24">
        <w:rPr>
          <w:sz w:val="28"/>
          <w:szCs w:val="28"/>
        </w:rPr>
        <w:t xml:space="preserve">Globally, governments lose out on an estimated </w:t>
      </w:r>
      <w:r w:rsidR="00640DBF" w:rsidRPr="00B90A24">
        <w:rPr>
          <w:rFonts w:cs="Times New Roman"/>
          <w:sz w:val="28"/>
          <w:szCs w:val="28"/>
          <w:shd w:val="clear" w:color="auto" w:fill="FFFFFF"/>
        </w:rPr>
        <w:t xml:space="preserve">US$100bn to US$600bn </w:t>
      </w:r>
      <w:r w:rsidRPr="00B90A24">
        <w:rPr>
          <w:sz w:val="28"/>
          <w:szCs w:val="28"/>
        </w:rPr>
        <w:t xml:space="preserve">in revenues annually through corporate tax abuse </w:t>
      </w:r>
      <w:r w:rsidRPr="00B90A24">
        <w:rPr>
          <w:sz w:val="28"/>
          <w:szCs w:val="28"/>
        </w:rPr>
        <w:fldChar w:fldCharType="begin"/>
      </w:r>
      <w:r w:rsidR="00500851" w:rsidRPr="00B90A24">
        <w:rPr>
          <w:sz w:val="28"/>
          <w:szCs w:val="28"/>
        </w:rPr>
        <w:instrText xml:space="preserve"> ADDIN ZOTERO_ITEM CSL_CITATION {"citationID":"MTBPg9wn","properties":{"formattedCitation":"(Cobham &amp; Jansk\\uc0\\u253{}, 2018, 2020, pp. 96\\uc0\\u8211{}97; Crivelli et al., 2016; OECD, 2015f)","plainCitation":"(Cobham &amp; Janský, 2018, 2020, pp. 96–97; Crivelli et al., 2016; OECD, 2015f)","noteIndex":0},"citationItems":[{"id":2986,"uris":["http://zotero.org/groups/997303/items/ZELFBDU9"],"uri":["http://zotero.org/groups/997303/items/ZELFBDU9"],"itemData":{"id":2986,"type":"article-journal","abstract":"International corporate tax is an important source of government revenue, especially in lower-income countries. An innovative study of the scale of this problem was carried out by International Monetary Fund researchers and published in 2016. We first re-estimate their model and then explore the effects of introducing higher-quality revenue data from the International Centre for Tax and Development–World Institute for Development Economics Research Government Revenue Database. Whereas IMF researchers report results for two country groups only, we present country-level results to make the most detailed estimates available. Our findings support a somewhat lower estimate of global revenue losses of around US$500 billion annually and indicate that the greatest intensity of losses occurs in low-income and lower middle-income countries and across sub-Saharan Africa, Latin America and the Caribbean and South Asia. © 2018 UNU-WIDER. Journal of International Development published by John Wiley &amp; Sons, Ltd.","container-title":"Journal of International Development","DOI":"10.1002/jid.3348","ISSN":"1099-1328","issue":"2","language":"en","page":"206-232","source":"Wiley Online Library","title":"Global distribution of revenue loss from corporate tax avoidance: re-estimation and country results","title-short":"Global distribution of revenue loss from corporate tax avoidance","volume":"30","author":[{"family":"Cobham","given":"Alex"},{"family":"Janský","given":"Petr"}],"issued":{"date-parts":[["2018"]]}}},{"id":5548,"uris":["http://zotero.org/groups/997303/items/W3B5FW3A"],"uri":["http://zotero.org/groups/997303/items/W3B5FW3A"],"itemData":{"id":5548,"type":"book","event-place":"Oxford","language":"en","publisher":"Oxford University Press","publisher-place":"Oxford","source":"Zotero","title":"Estimating illicit financial flows: A critical guide to the data, methodologies and findings","URL":"https://global.oup.com/academic/product/estimating-illicit-financial-flows-9780198854418?q=9780198854418&amp;cc=gb&amp;lang=en#","author":[{"family":"Cobham","given":"Alex"},{"family":"Janský","given":"Petr"}],"accessed":{"date-parts":[["2020",3,11]]},"issued":{"date-parts":[["2020"]]}},"locator":"96-97"},{"id":2997,"uris":["http://zotero.org/groups/997303/items/QUILYB95"],"uri":["http://zotero.org/groups/997303/items/QUILYB95"],"itemData":{"id":2997,"type":"article-journal","container-title":"FinanzArchiv: Public Finance Analysis","issue":"3","language":"en","note":"DOI: info:doi/10.1628/001522116X14646834385460","page":"268-301","title":"Base Erosion, Profit Shifting and Developing Countries","volume":"72","author":[{"family":"Crivelli","given":"Ernesto"},{"family":"Mooij","given":"Ruud","non-dropping-particle":"de"},{"family":"Keen","given":"Michael"}],"issued":{"date-parts":[["2016",9]]}}},{"id":3837,"uris":["http://zotero.org/groups/997303/items/2UTFZWT2"],"uri":["http://zotero.org/groups/997303/items/2UTFZWT2"],"itemData":{"id":3837,"type":"book","collection-title":"OECD/G20 Base Erosion and Profit Shifting Project","event-place":"Paris","ISBN":"978-92-64-24133-6","language":"en","note":"DOI: 10.1787/9789264241343-en","publisher":"OECD","publisher-place":"Paris","source":"DOI.org (Crossref)","title":"Measuring and Monitoring BEPS, Action 11 - 2015 Final Report","URL":"https://www.oecd-ilibrary.org/taxation/measuring-and-monitoring-beps-action-11-2015-final-report_9789264241343-en","author":[{"literal":"OECD"}],"accessed":{"date-parts":[["2019",4,22]]},"issued":{"date-parts":[["2015",10,5]]}}}],"schema":"https://github.com/citation-style-language/schema/raw/master/csl-citation.json"} </w:instrText>
      </w:r>
      <w:r w:rsidRPr="00B90A24">
        <w:rPr>
          <w:sz w:val="28"/>
          <w:szCs w:val="28"/>
        </w:rPr>
        <w:fldChar w:fldCharType="separate"/>
      </w:r>
      <w:r w:rsidR="00B133DE" w:rsidRPr="00B90A24">
        <w:rPr>
          <w:rFonts w:cs="Times New Roman"/>
          <w:sz w:val="28"/>
          <w:szCs w:val="28"/>
        </w:rPr>
        <w:t>(Cobham &amp; Janský, 2018, 2020, pp. 96–97; Crivelli et al., 2016; OECD, 2015f)</w:t>
      </w:r>
      <w:r w:rsidRPr="00B90A24">
        <w:rPr>
          <w:sz w:val="28"/>
          <w:szCs w:val="28"/>
        </w:rPr>
        <w:fldChar w:fldCharType="end"/>
      </w:r>
      <w:r w:rsidRPr="00B90A24">
        <w:rPr>
          <w:sz w:val="28"/>
          <w:szCs w:val="28"/>
        </w:rPr>
        <w:t xml:space="preserve">. </w:t>
      </w:r>
      <w:r w:rsidR="00516122" w:rsidRPr="00B90A24">
        <w:rPr>
          <w:sz w:val="28"/>
          <w:szCs w:val="28"/>
        </w:rPr>
        <w:t>Illicit financial outflows from t</w:t>
      </w:r>
      <w:r w:rsidRPr="00B90A24">
        <w:rPr>
          <w:sz w:val="28"/>
          <w:szCs w:val="28"/>
        </w:rPr>
        <w:t xml:space="preserve">he African continent </w:t>
      </w:r>
      <w:r w:rsidR="00CC464D" w:rsidRPr="00B90A24">
        <w:rPr>
          <w:sz w:val="28"/>
          <w:szCs w:val="28"/>
        </w:rPr>
        <w:t xml:space="preserve">alone </w:t>
      </w:r>
      <w:r w:rsidR="00F82D7C" w:rsidRPr="00B90A24">
        <w:rPr>
          <w:sz w:val="28"/>
          <w:szCs w:val="28"/>
        </w:rPr>
        <w:t>ha</w:t>
      </w:r>
      <w:r w:rsidR="00516122" w:rsidRPr="00B90A24">
        <w:rPr>
          <w:sz w:val="28"/>
          <w:szCs w:val="28"/>
        </w:rPr>
        <w:t>ve</w:t>
      </w:r>
      <w:r w:rsidR="00F82D7C" w:rsidRPr="00B90A24">
        <w:rPr>
          <w:sz w:val="28"/>
          <w:szCs w:val="28"/>
        </w:rPr>
        <w:t xml:space="preserve"> been estimated </w:t>
      </w:r>
      <w:r w:rsidR="00516122" w:rsidRPr="00B90A24">
        <w:rPr>
          <w:sz w:val="28"/>
          <w:szCs w:val="28"/>
        </w:rPr>
        <w:t xml:space="preserve">to amount to </w:t>
      </w:r>
      <w:r w:rsidRPr="00B90A24">
        <w:rPr>
          <w:sz w:val="28"/>
          <w:szCs w:val="28"/>
        </w:rPr>
        <w:t xml:space="preserve">US$50bn each year </w:t>
      </w:r>
      <w:r w:rsidRPr="00B90A24">
        <w:rPr>
          <w:sz w:val="28"/>
          <w:szCs w:val="28"/>
        </w:rPr>
        <w:fldChar w:fldCharType="begin"/>
      </w:r>
      <w:r w:rsidR="00500851" w:rsidRPr="00B90A24">
        <w:rPr>
          <w:sz w:val="28"/>
          <w:szCs w:val="28"/>
        </w:rPr>
        <w:instrText xml:space="preserve"> ADDIN ZOTERO_ITEM CSL_CITATION {"citationID":"Jqcamo4F","properties":{"formattedCitation":"(African Union Commission &amp; United Nations Economic Commission for Africa, 2015, pp. 33\\uc0\\u8211{}34)","plainCitation":"(African Union Commission &amp; United Nations Economic Commission for Africa, 2015, pp. 33–34)","dontUpdate":true,"noteIndex":0},"citationItems":[{"id":312,"uris":["http://zotero.org/users/4746762/items/8CA3R9HA"],"uri":["http://zotero.org/users/4746762/items/8CA3R9HA"],"itemData":{"id":312,"type":"report","publisher":"African Union Commission; United Nations Economic Commission for Africa","title":"Illicit Financial Flow: Report of the High Level Panel on Illicit Financial Flows from Africa","URL":"https://www.uneca.org/sites/default/files/PublicationFiles/iff_main_report_26feb_en.pdf","author":[{"family":"African Union Commission","given":""},{"family":"United Nations Economic Commission for Africa","given":""}],"accessed":{"date-parts":[["2017",11,8]]},"issued":{"date-parts":[["2015"]]}},"locator":"33-34"}],"schema":"https://github.com/citation-style-language/schema/raw/master/csl-citation.json"} </w:instrText>
      </w:r>
      <w:r w:rsidRPr="00B90A24">
        <w:rPr>
          <w:sz w:val="28"/>
          <w:szCs w:val="28"/>
        </w:rPr>
        <w:fldChar w:fldCharType="separate"/>
      </w:r>
      <w:r w:rsidR="009A0158" w:rsidRPr="00B90A24">
        <w:rPr>
          <w:rFonts w:cs="Times New Roman"/>
          <w:sz w:val="28"/>
          <w:szCs w:val="28"/>
        </w:rPr>
        <w:t>(</w:t>
      </w:r>
      <w:r w:rsidR="00222CA5" w:rsidRPr="00B90A24">
        <w:rPr>
          <w:rFonts w:cs="Times New Roman"/>
          <w:sz w:val="28"/>
          <w:szCs w:val="28"/>
        </w:rPr>
        <w:t>AUC</w:t>
      </w:r>
      <w:r w:rsidR="009A0158" w:rsidRPr="00B90A24">
        <w:rPr>
          <w:rFonts w:cs="Times New Roman"/>
          <w:sz w:val="28"/>
          <w:szCs w:val="28"/>
        </w:rPr>
        <w:t xml:space="preserve"> &amp;</w:t>
      </w:r>
      <w:r w:rsidR="00222CA5" w:rsidRPr="00B90A24">
        <w:rPr>
          <w:rFonts w:cs="Times New Roman"/>
          <w:sz w:val="28"/>
          <w:szCs w:val="28"/>
        </w:rPr>
        <w:t xml:space="preserve"> UNECA</w:t>
      </w:r>
      <w:r w:rsidR="009A0158" w:rsidRPr="00B90A24">
        <w:rPr>
          <w:rFonts w:cs="Times New Roman"/>
          <w:sz w:val="28"/>
          <w:szCs w:val="28"/>
        </w:rPr>
        <w:t>, 2015, pp. 33–34)</w:t>
      </w:r>
      <w:r w:rsidRPr="00B90A24">
        <w:rPr>
          <w:sz w:val="28"/>
          <w:szCs w:val="28"/>
        </w:rPr>
        <w:fldChar w:fldCharType="end"/>
      </w:r>
      <w:r w:rsidR="00445C2D" w:rsidRPr="00B90A24">
        <w:rPr>
          <w:sz w:val="28"/>
          <w:szCs w:val="28"/>
        </w:rPr>
        <w:t xml:space="preserve">. In almost half a century, between 1970 and 2015, Africa lost approximately US$1.4 trillion in capital flight. This is far more than the total stock of debt owed as of 2015 (US$496.9 billion) and the cumulative amount of foreign aid received in the same period (US$991.8 billion) </w:t>
      </w:r>
      <w:r w:rsidR="00445C2D" w:rsidRPr="00B90A24">
        <w:rPr>
          <w:sz w:val="28"/>
          <w:szCs w:val="28"/>
        </w:rPr>
        <w:fldChar w:fldCharType="begin"/>
      </w:r>
      <w:r w:rsidR="00500851" w:rsidRPr="00B90A24">
        <w:rPr>
          <w:sz w:val="28"/>
          <w:szCs w:val="28"/>
        </w:rPr>
        <w:instrText xml:space="preserve"> ADDIN ZOTERO_ITEM CSL_CITATION {"citationID":"I4Z7wakF","properties":{"formattedCitation":"(Ndikumana &amp; Boyce, 2018)","plainCitation":"(Ndikumana &amp; Boyce, 2018)","noteIndex":0},"citationItems":[{"id":5765,"uris":["http://zotero.org/groups/997303/items/33G7LFNV"],"uri":["http://zotero.org/groups/997303/items/33G7LFNV"],"itemData":{"id":5765,"type":"report","abstract":"This report by PERI economists Léonce Ndikumana and James Boyce provides estimates of capital flight from a representative sample of 30 African countr...","genre":"PERI Research Report","language":"en-gb","publisher":"Political Economy Research Institute (PERI), University of Massachusetts-Amherst","source":"www.peri.umass.edu","title":"Capital Flight From Africa: Updated Methodology and New Estimates","title-short":"PERI - Capital Flight From Africa","URL":"https://www.peri.umass.edu/publication/item/1083-capital-flight-from-africa-updated-methodology-and-new-estimates","author":[{"family":"Ndikumana","given":"Léonce"},{"family":"Boyce","given":"James K."}],"accessed":{"date-parts":[["2020",5,11]]},"issued":{"date-parts":[["2018",6]]}}}],"schema":"https://github.com/citation-style-language/schema/raw/master/csl-citation.json"} </w:instrText>
      </w:r>
      <w:r w:rsidR="00445C2D" w:rsidRPr="00B90A24">
        <w:rPr>
          <w:sz w:val="28"/>
          <w:szCs w:val="28"/>
        </w:rPr>
        <w:fldChar w:fldCharType="separate"/>
      </w:r>
      <w:r w:rsidR="00B133DE" w:rsidRPr="00B90A24">
        <w:rPr>
          <w:rFonts w:cs="Times New Roman"/>
          <w:sz w:val="28"/>
          <w:szCs w:val="28"/>
        </w:rPr>
        <w:t>(Ndikumana &amp; Boyce, 2018)</w:t>
      </w:r>
      <w:r w:rsidR="00445C2D" w:rsidRPr="00B90A24">
        <w:rPr>
          <w:sz w:val="28"/>
          <w:szCs w:val="28"/>
        </w:rPr>
        <w:fldChar w:fldCharType="end"/>
      </w:r>
      <w:r w:rsidR="00CF6185" w:rsidRPr="00B90A24">
        <w:rPr>
          <w:sz w:val="28"/>
          <w:szCs w:val="28"/>
        </w:rPr>
        <w:t xml:space="preserve">. </w:t>
      </w:r>
      <w:r w:rsidR="00B90A24" w:rsidRPr="00B90A24">
        <w:rPr>
          <w:sz w:val="28"/>
          <w:szCs w:val="28"/>
        </w:rPr>
        <w:t xml:space="preserve"> </w:t>
      </w:r>
      <w:r w:rsidR="00445C2D" w:rsidRPr="00B90A24">
        <w:rPr>
          <w:sz w:val="28"/>
          <w:szCs w:val="28"/>
        </w:rPr>
        <w:t>To further contextualise the r</w:t>
      </w:r>
      <w:r w:rsidR="003C3A9D" w:rsidRPr="00B90A24">
        <w:rPr>
          <w:sz w:val="28"/>
          <w:szCs w:val="28"/>
        </w:rPr>
        <w:t>evenue losses through c</w:t>
      </w:r>
      <w:r w:rsidR="00717C82" w:rsidRPr="00B90A24">
        <w:rPr>
          <w:sz w:val="28"/>
          <w:szCs w:val="28"/>
        </w:rPr>
        <w:t xml:space="preserve">orporate tax avoidance </w:t>
      </w:r>
      <w:r w:rsidR="003C3A9D" w:rsidRPr="00B90A24">
        <w:rPr>
          <w:sz w:val="28"/>
          <w:szCs w:val="28"/>
        </w:rPr>
        <w:t xml:space="preserve">in sub-Saharan </w:t>
      </w:r>
      <w:r w:rsidR="00717C82" w:rsidRPr="00B90A24">
        <w:rPr>
          <w:sz w:val="28"/>
          <w:szCs w:val="28"/>
        </w:rPr>
        <w:t>Africa</w:t>
      </w:r>
      <w:r w:rsidR="00445C2D" w:rsidRPr="00B90A24">
        <w:rPr>
          <w:sz w:val="28"/>
          <w:szCs w:val="28"/>
        </w:rPr>
        <w:t xml:space="preserve">, these </w:t>
      </w:r>
      <w:r w:rsidR="00635053" w:rsidRPr="00B90A24">
        <w:rPr>
          <w:sz w:val="28"/>
          <w:szCs w:val="28"/>
        </w:rPr>
        <w:t>were</w:t>
      </w:r>
      <w:r w:rsidR="00717C82" w:rsidRPr="00B90A24">
        <w:rPr>
          <w:sz w:val="28"/>
          <w:szCs w:val="28"/>
        </w:rPr>
        <w:t xml:space="preserve"> </w:t>
      </w:r>
      <w:r w:rsidR="00770325" w:rsidRPr="00B90A24">
        <w:rPr>
          <w:sz w:val="28"/>
          <w:szCs w:val="28"/>
        </w:rPr>
        <w:t xml:space="preserve">equal </w:t>
      </w:r>
      <w:r w:rsidR="00445C2D" w:rsidRPr="00B90A24">
        <w:rPr>
          <w:sz w:val="28"/>
          <w:szCs w:val="28"/>
        </w:rPr>
        <w:t xml:space="preserve">to </w:t>
      </w:r>
      <w:r w:rsidR="00717C82" w:rsidRPr="00B90A24">
        <w:rPr>
          <w:sz w:val="28"/>
          <w:szCs w:val="28"/>
        </w:rPr>
        <w:t>between one</w:t>
      </w:r>
      <w:r w:rsidR="00445C2D" w:rsidRPr="00B90A24">
        <w:rPr>
          <w:sz w:val="28"/>
          <w:szCs w:val="28"/>
        </w:rPr>
        <w:t>-</w:t>
      </w:r>
      <w:r w:rsidR="00717C82" w:rsidRPr="00B90A24">
        <w:rPr>
          <w:sz w:val="28"/>
          <w:szCs w:val="28"/>
        </w:rPr>
        <w:t xml:space="preserve"> and two</w:t>
      </w:r>
      <w:r w:rsidR="00445C2D" w:rsidRPr="00B90A24">
        <w:rPr>
          <w:sz w:val="28"/>
          <w:szCs w:val="28"/>
        </w:rPr>
        <w:t>-</w:t>
      </w:r>
      <w:r w:rsidR="00717C82" w:rsidRPr="00B90A24">
        <w:rPr>
          <w:sz w:val="28"/>
          <w:szCs w:val="28"/>
        </w:rPr>
        <w:t xml:space="preserve">thirds of its </w:t>
      </w:r>
      <w:r w:rsidR="00052AE0" w:rsidRPr="00B90A24">
        <w:rPr>
          <w:sz w:val="28"/>
          <w:szCs w:val="28"/>
        </w:rPr>
        <w:t xml:space="preserve">total official development assistance in 2014 </w:t>
      </w:r>
      <w:r w:rsidR="00052AE0" w:rsidRPr="00B90A24">
        <w:rPr>
          <w:sz w:val="28"/>
          <w:szCs w:val="28"/>
        </w:rPr>
        <w:fldChar w:fldCharType="begin"/>
      </w:r>
      <w:r w:rsidR="00500851" w:rsidRPr="00B90A24">
        <w:rPr>
          <w:sz w:val="28"/>
          <w:szCs w:val="28"/>
        </w:rPr>
        <w:instrText xml:space="preserve"> ADDIN ZOTERO_ITEM CSL_CITATION {"citationID":"MWkj7uU5","properties":{"formattedCitation":"(Moore et al., 2018, p. 65)","plainCitation":"(Moore et al., 2018, p. 65)","noteIndex":0},"citationItems":[{"id":4465,"uris":["http://zotero.org/groups/997303/items/ZBJ54QDA"],"uri":["http://zotero.org/groups/997303/items/ZBJ54QDA"],"itemData":{"id":4465,"type":"book","event-place":"London","publisher":"Zed","publisher-place":"London","title":"Taxing Africa. Coercion, Reform and Development","author":[{"family":"Moore","given":"Mick"},{"family":"Prichard","given":"Wilson"},{"family":"Fjeldstad","given":"Odd-Helge"}],"issued":{"date-parts":[["2018"]]}},"locator":"65"}],"schema":"https://github.com/citation-style-language/schema/raw/master/csl-citation.json"} </w:instrText>
      </w:r>
      <w:r w:rsidR="00052AE0" w:rsidRPr="00B90A24">
        <w:rPr>
          <w:sz w:val="28"/>
          <w:szCs w:val="28"/>
        </w:rPr>
        <w:fldChar w:fldCharType="separate"/>
      </w:r>
      <w:r w:rsidR="00B133DE" w:rsidRPr="00B90A24">
        <w:rPr>
          <w:rFonts w:cs="Times New Roman"/>
          <w:sz w:val="28"/>
          <w:szCs w:val="28"/>
        </w:rPr>
        <w:t>(Moore et al., 2018, p. 65)</w:t>
      </w:r>
      <w:r w:rsidR="00052AE0" w:rsidRPr="00B90A24">
        <w:rPr>
          <w:sz w:val="28"/>
          <w:szCs w:val="28"/>
        </w:rPr>
        <w:fldChar w:fldCharType="end"/>
      </w:r>
      <w:r w:rsidRPr="00B90A24">
        <w:rPr>
          <w:sz w:val="28"/>
          <w:szCs w:val="28"/>
        </w:rPr>
        <w:t xml:space="preserve">. </w:t>
      </w:r>
      <w:r w:rsidR="00A439D3" w:rsidRPr="00B90A24">
        <w:rPr>
          <w:sz w:val="28"/>
          <w:szCs w:val="28"/>
        </w:rPr>
        <w:t>With insufficient revenue, African nations are not able to finance development</w:t>
      </w:r>
      <w:r w:rsidR="00222CA5" w:rsidRPr="00B90A24">
        <w:rPr>
          <w:sz w:val="28"/>
          <w:szCs w:val="28"/>
        </w:rPr>
        <w:t>,</w:t>
      </w:r>
      <w:r w:rsidR="004E3D2A" w:rsidRPr="00B90A24">
        <w:rPr>
          <w:sz w:val="28"/>
          <w:szCs w:val="28"/>
        </w:rPr>
        <w:t xml:space="preserve"> they</w:t>
      </w:r>
      <w:r w:rsidR="00222CA5" w:rsidRPr="00B90A24">
        <w:rPr>
          <w:sz w:val="28"/>
          <w:szCs w:val="28"/>
        </w:rPr>
        <w:t xml:space="preserve"> will not be able to adequately respond to the economic impacts of the COVID-19 pandemic,</w:t>
      </w:r>
      <w:r w:rsidR="00A439D3" w:rsidRPr="00B90A24">
        <w:rPr>
          <w:sz w:val="28"/>
          <w:szCs w:val="28"/>
        </w:rPr>
        <w:t xml:space="preserve"> and i</w:t>
      </w:r>
      <w:r w:rsidRPr="00B90A24">
        <w:rPr>
          <w:sz w:val="28"/>
          <w:szCs w:val="28"/>
        </w:rPr>
        <w:t>nequality is exacerbated</w:t>
      </w:r>
      <w:r w:rsidR="00A439D3" w:rsidRPr="00B90A24">
        <w:rPr>
          <w:sz w:val="28"/>
          <w:szCs w:val="28"/>
        </w:rPr>
        <w:t xml:space="preserve">: </w:t>
      </w:r>
      <w:r w:rsidR="00A439D3" w:rsidRPr="00B90A24">
        <w:rPr>
          <w:i/>
          <w:sz w:val="28"/>
          <w:szCs w:val="28"/>
        </w:rPr>
        <w:t>“[t]hese problems impede the ability of states to finance the sustainable development goals (SDGs), poverty alleviation, development and to achieve and maintain fiscal self-sufficiency”</w:t>
      </w:r>
      <w:r w:rsidR="00A439D3" w:rsidRPr="00B90A24">
        <w:rPr>
          <w:sz w:val="28"/>
          <w:szCs w:val="28"/>
        </w:rPr>
        <w:t xml:space="preserve"> </w:t>
      </w:r>
      <w:r w:rsidR="00A439D3" w:rsidRPr="00B90A24">
        <w:rPr>
          <w:sz w:val="28"/>
          <w:szCs w:val="28"/>
        </w:rPr>
        <w:fldChar w:fldCharType="begin"/>
      </w:r>
      <w:r w:rsidR="00500851" w:rsidRPr="00B90A24">
        <w:rPr>
          <w:sz w:val="28"/>
          <w:szCs w:val="28"/>
        </w:rPr>
        <w:instrText xml:space="preserve"> ADDIN ZOTERO_ITEM CSL_CITATION {"citationID":"sVcbIXPy","properties":{"formattedCitation":"(Waris, 2019, p. 6)","plainCitation":"(Waris, 2019, p. 6)","noteIndex":0},"citationItems":[{"id":5522,"uris":["http://zotero.org/groups/997303/items/KK4YESLC"],"uri":["http://zotero.org/groups/997303/items/KK4YESLC"],"itemData":{"id":5522,"type":"book","event-place":"Bamenda, Cameroon","publisher":"Langaa Research &amp; Publishing Common Initative Group","publisher-place":"Bamenda, Cameroon","title":"Financing Africa","author":[{"family":"Waris","given":"Attiya"}],"issued":{"date-parts":[["2019"]]}},"locator":"6"}],"schema":"https://github.com/citation-style-language/schema/raw/master/csl-citation.json"} </w:instrText>
      </w:r>
      <w:r w:rsidR="00A439D3" w:rsidRPr="00B90A24">
        <w:rPr>
          <w:sz w:val="28"/>
          <w:szCs w:val="28"/>
        </w:rPr>
        <w:fldChar w:fldCharType="separate"/>
      </w:r>
      <w:r w:rsidR="00B133DE" w:rsidRPr="00B90A24">
        <w:rPr>
          <w:rFonts w:cs="Times New Roman"/>
          <w:sz w:val="28"/>
          <w:szCs w:val="28"/>
        </w:rPr>
        <w:t>(Waris, 2019, p. 6)</w:t>
      </w:r>
      <w:r w:rsidR="00A439D3" w:rsidRPr="00B90A24">
        <w:rPr>
          <w:sz w:val="28"/>
          <w:szCs w:val="28"/>
        </w:rPr>
        <w:fldChar w:fldCharType="end"/>
      </w:r>
      <w:r w:rsidR="00A439D3" w:rsidRPr="00B90A24">
        <w:rPr>
          <w:sz w:val="28"/>
          <w:szCs w:val="28"/>
        </w:rPr>
        <w:t xml:space="preserve">. </w:t>
      </w:r>
    </w:p>
    <w:p w14:paraId="6DC12213" w14:textId="77777777" w:rsidR="003430EA" w:rsidRPr="00B90A24" w:rsidRDefault="003430EA" w:rsidP="00B90A24">
      <w:pPr>
        <w:spacing w:after="0" w:line="240" w:lineRule="auto"/>
        <w:jc w:val="both"/>
        <w:rPr>
          <w:sz w:val="28"/>
          <w:szCs w:val="28"/>
        </w:rPr>
      </w:pPr>
    </w:p>
    <w:p w14:paraId="305BEA4A" w14:textId="6A605435" w:rsidR="003430EA" w:rsidRPr="00B90A24" w:rsidRDefault="00A439D3" w:rsidP="00D7338C">
      <w:pPr>
        <w:spacing w:after="0" w:line="240" w:lineRule="auto"/>
        <w:ind w:left="709" w:right="890"/>
        <w:jc w:val="both"/>
        <w:rPr>
          <w:sz w:val="28"/>
          <w:szCs w:val="28"/>
        </w:rPr>
      </w:pPr>
      <w:r w:rsidRPr="00B90A24">
        <w:rPr>
          <w:sz w:val="28"/>
          <w:szCs w:val="28"/>
        </w:rPr>
        <w:t xml:space="preserve">To compound challenges faced by governments in revenue mobilisation, tax competition in the age of globalisation has shifted the burden from the taxation of capital to labour. In a bid to attract foreign portfolio and direct investment through lowering tax rates on income earned by foreign companies, revenue collected through corporate income tax </w:t>
      </w:r>
      <w:r w:rsidR="00222CA5" w:rsidRPr="00B90A24">
        <w:rPr>
          <w:sz w:val="28"/>
          <w:szCs w:val="28"/>
        </w:rPr>
        <w:t>is</w:t>
      </w:r>
      <w:r w:rsidRPr="00B90A24">
        <w:rPr>
          <w:sz w:val="28"/>
          <w:szCs w:val="28"/>
        </w:rPr>
        <w:t xml:space="preserve"> threatened </w:t>
      </w:r>
      <w:r w:rsidRPr="00B90A24">
        <w:rPr>
          <w:sz w:val="28"/>
          <w:szCs w:val="28"/>
        </w:rPr>
        <w:fldChar w:fldCharType="begin"/>
      </w:r>
      <w:r w:rsidR="00500851" w:rsidRPr="00B90A24">
        <w:rPr>
          <w:sz w:val="28"/>
          <w:szCs w:val="28"/>
        </w:rPr>
        <w:instrText xml:space="preserve"> ADDIN ZOTERO_ITEM CSL_CITATION {"citationID":"uXDTO8Ht","properties":{"formattedCitation":"(Avi-Yonah, 2020)","plainCitation":"(Avi-Yonah, 2020)","noteIndex":0},"citationItems":[{"id":5820,"uris":["http://zotero.org/groups/997303/items/4Q2ACD3C"],"uri":["http://zotero.org/groups/997303/items/4Q2ACD3C"],"itemData":{"id":5820,"type":"report","abstract":"If we want to narrow the North-South divide that threatens our world, some limits on tax competition are inevitable. The world faces a crucial choice in the 2020s. We can either continue retreating from globalization in favor of xenophobic nationalism, tariffs, immigration restrictions, and exchange controls. That road leads ultimately to war, as it did in the 1930s. Or we can revive globalization by investing in a robust social safety net, infrastructure, education, and job creation. While more needs to be done, we have made significant progress in curbing tax competition in the last decade. The key move now is to take the added revenue and spend it wisely.","event-place":"Rochester, NY","genre":"SSRN Scholarly Paper","language":"en","note":"DOI: 10.2139/ssrn.3576538","number":"ID 3576538","publisher":"Social Science Research Network","publisher-place":"Rochester, NY","source":"papers.ssrn.com","title":"Taxation and Business: The Human Rights Dimension of Corporate Tax Practices","title-short":"Taxation and Business","URL":"https://papers.ssrn.com/abstract=3576538","author":[{"family":"Avi-Yonah","given":"Reuven S."}],"accessed":{"date-parts":[["2020",5,25]]},"issued":{"date-parts":[["2020",4,15]]}}}],"schema":"https://github.com/citation-style-language/schema/raw/master/csl-citation.json"} </w:instrText>
      </w:r>
      <w:r w:rsidRPr="00B90A24">
        <w:rPr>
          <w:sz w:val="28"/>
          <w:szCs w:val="28"/>
        </w:rPr>
        <w:fldChar w:fldCharType="separate"/>
      </w:r>
      <w:r w:rsidR="00B133DE" w:rsidRPr="00B90A24">
        <w:rPr>
          <w:rFonts w:cs="Times New Roman"/>
          <w:sz w:val="28"/>
          <w:szCs w:val="28"/>
        </w:rPr>
        <w:t>(Avi-Yonah, 2020)</w:t>
      </w:r>
      <w:r w:rsidRPr="00B90A24">
        <w:rPr>
          <w:sz w:val="28"/>
          <w:szCs w:val="28"/>
        </w:rPr>
        <w:fldChar w:fldCharType="end"/>
      </w:r>
      <w:r w:rsidRPr="00B90A24">
        <w:rPr>
          <w:sz w:val="28"/>
          <w:szCs w:val="28"/>
        </w:rPr>
        <w:t xml:space="preserve">. </w:t>
      </w:r>
      <w:r w:rsidR="00062A5E" w:rsidRPr="00B90A24">
        <w:rPr>
          <w:sz w:val="28"/>
          <w:szCs w:val="28"/>
        </w:rPr>
        <w:t xml:space="preserve">Even though state and non-state actors assert that tax havens are </w:t>
      </w:r>
      <w:r w:rsidR="00B0127B" w:rsidRPr="00B90A24">
        <w:rPr>
          <w:sz w:val="28"/>
          <w:szCs w:val="28"/>
        </w:rPr>
        <w:t xml:space="preserve">responsible </w:t>
      </w:r>
      <w:r w:rsidR="00062A5E" w:rsidRPr="00B90A24">
        <w:rPr>
          <w:sz w:val="28"/>
          <w:szCs w:val="28"/>
        </w:rPr>
        <w:t xml:space="preserve">for </w:t>
      </w:r>
      <w:r w:rsidR="00B0127B" w:rsidRPr="00B90A24">
        <w:rPr>
          <w:sz w:val="28"/>
          <w:szCs w:val="28"/>
        </w:rPr>
        <w:t xml:space="preserve">facilitating </w:t>
      </w:r>
      <w:r w:rsidR="00062A5E" w:rsidRPr="00B90A24">
        <w:rPr>
          <w:sz w:val="28"/>
          <w:szCs w:val="28"/>
        </w:rPr>
        <w:t xml:space="preserve">corporate tax avoidance, there has been no </w:t>
      </w:r>
      <w:r w:rsidR="0024623B" w:rsidRPr="00B90A24">
        <w:rPr>
          <w:sz w:val="28"/>
          <w:szCs w:val="28"/>
        </w:rPr>
        <w:t xml:space="preserve">consistent </w:t>
      </w:r>
      <w:r w:rsidR="00062A5E" w:rsidRPr="00B90A24">
        <w:rPr>
          <w:sz w:val="28"/>
          <w:szCs w:val="28"/>
        </w:rPr>
        <w:t>definition of what constitutes a (corporate) tax haven</w:t>
      </w:r>
      <w:r w:rsidR="003F3D2B" w:rsidRPr="00B90A24">
        <w:rPr>
          <w:sz w:val="28"/>
          <w:szCs w:val="28"/>
        </w:rPr>
        <w:t xml:space="preserve"> </w:t>
      </w:r>
      <w:r w:rsidR="004570B4" w:rsidRPr="00B90A24">
        <w:rPr>
          <w:sz w:val="28"/>
          <w:szCs w:val="28"/>
        </w:rPr>
        <w:fldChar w:fldCharType="begin"/>
      </w:r>
      <w:r w:rsidR="00B133DE" w:rsidRPr="00B90A24">
        <w:rPr>
          <w:sz w:val="28"/>
          <w:szCs w:val="28"/>
        </w:rPr>
        <w:instrText xml:space="preserve"> ADDIN ZOTERO_ITEM CSL_CITATION {"citationID":"068roSbz","properties":{"formattedCitation":"(Ates et al., forthcoming; Cobham et al., 2015)","plainCitation":"(Ates et al., forthcoming; Cobham et al., 2015)","noteIndex":0},"citationItems":[{"id":5503,"uris":["http://zotero.org/groups/997303/items/ZM799E5W"],"uri":["http://zotero.org/groups/997303/items/ZM799E5W"],"itemData":{"id":5503,"type":"chapter","container-title":"COFFERS volume","publisher":"Oxford University Press","title":"The Corporate Tax Haven Index: A new geography of profit shifting","author":[{"family":"Ates","given":"Leyla"},{"family":"Cobham","given":"Alex"},{"family":"Harari","given":"Moran"},{"family":"Janský","given":"Petr"},{"family":"Meinzer","given":"Markus"},{"family":"Millan-Narotzky","given":"Lucas"},{"family":"Palanský","given":"Miroslav"}],"issued":{"literal":"forthcoming"}}},{"id":"LppWUde1/lDLSrvfp","uris":["http://zotero.org/users/1521920/items/I2EMG3FP"],"uri":["http://zotero.org/users/1521920/items/I2EMG3FP"],"itemData":{"id":3407,"type":"article-journal","container-title":"Economic Geography","issue":"3","page":"281–303","title":"The Financial Secrecy Index: Shedding New Light on the Geography of Secrecy","title-short":"The Financial Secrecy Index: Shedding New Light on the Geography of Secrecy","volume":"91","author":[{"family":"Cobham","given":"Alex"},{"family":"Janský","given":"Petr"},{"family":"Meinzer","given":"Markus"}],"issued":{"date-parts":[["2015"]]}}}],"schema":"https://github.com/citation-style-language/schema/raw/master/csl-citation.json"} </w:instrText>
      </w:r>
      <w:r w:rsidR="004570B4" w:rsidRPr="00B90A24">
        <w:rPr>
          <w:sz w:val="28"/>
          <w:szCs w:val="28"/>
        </w:rPr>
        <w:fldChar w:fldCharType="separate"/>
      </w:r>
      <w:r w:rsidR="00B133DE" w:rsidRPr="00B90A24">
        <w:rPr>
          <w:rFonts w:cs="Times New Roman"/>
          <w:sz w:val="28"/>
          <w:szCs w:val="28"/>
        </w:rPr>
        <w:t>(Ates et al., forthcoming; Cobham et al., 2015)</w:t>
      </w:r>
      <w:r w:rsidR="004570B4" w:rsidRPr="00B90A24">
        <w:rPr>
          <w:sz w:val="28"/>
          <w:szCs w:val="28"/>
        </w:rPr>
        <w:fldChar w:fldCharType="end"/>
      </w:r>
      <w:r w:rsidR="008F0ADE" w:rsidRPr="00B90A24">
        <w:rPr>
          <w:sz w:val="28"/>
          <w:szCs w:val="28"/>
        </w:rPr>
        <w:t xml:space="preserve">. </w:t>
      </w:r>
      <w:r w:rsidR="00062A5E" w:rsidRPr="00B90A24">
        <w:rPr>
          <w:sz w:val="28"/>
          <w:szCs w:val="28"/>
        </w:rPr>
        <w:t xml:space="preserve">In order to tackle the </w:t>
      </w:r>
      <w:r w:rsidR="004F5161" w:rsidRPr="00B90A24">
        <w:rPr>
          <w:sz w:val="28"/>
          <w:szCs w:val="28"/>
        </w:rPr>
        <w:t>related issues</w:t>
      </w:r>
      <w:r w:rsidR="00062A5E" w:rsidRPr="00B90A24">
        <w:rPr>
          <w:sz w:val="28"/>
          <w:szCs w:val="28"/>
        </w:rPr>
        <w:t xml:space="preserve">, a definition of </w:t>
      </w:r>
      <w:r w:rsidR="006D356F" w:rsidRPr="00B90A24">
        <w:rPr>
          <w:sz w:val="28"/>
          <w:szCs w:val="28"/>
        </w:rPr>
        <w:t xml:space="preserve">corporate tax havens </w:t>
      </w:r>
      <w:r w:rsidR="00062A5E" w:rsidRPr="00B90A24">
        <w:rPr>
          <w:sz w:val="28"/>
          <w:szCs w:val="28"/>
        </w:rPr>
        <w:t xml:space="preserve">and framework </w:t>
      </w:r>
      <w:r w:rsidR="006D356F" w:rsidRPr="00B90A24">
        <w:rPr>
          <w:sz w:val="28"/>
          <w:szCs w:val="28"/>
        </w:rPr>
        <w:t>to assess these</w:t>
      </w:r>
      <w:r w:rsidR="00062A5E" w:rsidRPr="00B90A24">
        <w:rPr>
          <w:sz w:val="28"/>
          <w:szCs w:val="28"/>
        </w:rPr>
        <w:t xml:space="preserve"> are required to understand how different jurisdictions contribute to tax avoidance and the race to the bottom in corporate taxation. </w:t>
      </w:r>
      <w:r w:rsidR="00466E61" w:rsidRPr="00B90A24">
        <w:rPr>
          <w:sz w:val="28"/>
          <w:szCs w:val="28"/>
        </w:rPr>
        <w:t xml:space="preserve">To address </w:t>
      </w:r>
      <w:r w:rsidR="00062A5E" w:rsidRPr="00B90A24">
        <w:rPr>
          <w:sz w:val="28"/>
          <w:szCs w:val="28"/>
        </w:rPr>
        <w:t xml:space="preserve">this gap, the Tax Justice Network </w:t>
      </w:r>
      <w:r w:rsidR="00466E61" w:rsidRPr="00B90A24">
        <w:rPr>
          <w:sz w:val="28"/>
          <w:szCs w:val="28"/>
        </w:rPr>
        <w:t xml:space="preserve">published </w:t>
      </w:r>
      <w:r w:rsidR="00062A5E" w:rsidRPr="00B90A24">
        <w:rPr>
          <w:sz w:val="28"/>
          <w:szCs w:val="28"/>
        </w:rPr>
        <w:t>the</w:t>
      </w:r>
      <w:r w:rsidR="006D356F" w:rsidRPr="00B90A24">
        <w:rPr>
          <w:sz w:val="28"/>
          <w:szCs w:val="28"/>
        </w:rPr>
        <w:t xml:space="preserve"> inaugural</w:t>
      </w:r>
      <w:r w:rsidR="00062A5E" w:rsidRPr="00B90A24">
        <w:rPr>
          <w:sz w:val="28"/>
          <w:szCs w:val="28"/>
        </w:rPr>
        <w:t xml:space="preserve"> Corporate Tax Haven Index in 2019 </w:t>
      </w:r>
      <w:r w:rsidR="00062A5E" w:rsidRPr="00B90A24">
        <w:rPr>
          <w:sz w:val="28"/>
          <w:szCs w:val="28"/>
        </w:rPr>
        <w:fldChar w:fldCharType="begin"/>
      </w:r>
      <w:r w:rsidR="00A06D6C" w:rsidRPr="00B90A24">
        <w:rPr>
          <w:sz w:val="28"/>
          <w:szCs w:val="28"/>
        </w:rPr>
        <w:instrText xml:space="preserve"> ADDIN ZOTERO_ITEM CSL_CITATION {"citationID":"PGT8DCQW","properties":{"formattedCitation":"(Tax Justice Network, 2019b)","plainCitation":"(Tax Justice Network, 2019b)","noteIndex":0},"citationItems":[{"id":4235,"uris":["http://zotero.org/groups/997303/items/PE8NRUMH"],"uri":["http://zotero.org/groups/997303/items/PE8NRUMH"],"itemData":{"id":4235,"type":"webpage","title":"Corporate Tax Haven Index","URL":"https://www.corporatetaxhavenindex.org/","author":[{"family":"Tax Justice Network","given":""}],"accessed":{"date-parts":[["2019",6,4]]},"issued":{"date-parts":[["2019"]]}}}],"schema":"https://github.com/citation-style-language/schema/raw/master/csl-citation.json"} </w:instrText>
      </w:r>
      <w:r w:rsidR="00062A5E" w:rsidRPr="00B90A24">
        <w:rPr>
          <w:sz w:val="28"/>
          <w:szCs w:val="28"/>
        </w:rPr>
        <w:fldChar w:fldCharType="separate"/>
      </w:r>
      <w:r w:rsidR="00B133DE" w:rsidRPr="00B90A24">
        <w:rPr>
          <w:rFonts w:cs="Times New Roman"/>
          <w:sz w:val="28"/>
          <w:szCs w:val="28"/>
        </w:rPr>
        <w:t>(Tax Justice Network, 2019b)</w:t>
      </w:r>
      <w:r w:rsidR="00062A5E" w:rsidRPr="00B90A24">
        <w:rPr>
          <w:sz w:val="28"/>
          <w:szCs w:val="28"/>
        </w:rPr>
        <w:fldChar w:fldCharType="end"/>
      </w:r>
      <w:r w:rsidR="00062A5E" w:rsidRPr="00B90A24">
        <w:rPr>
          <w:sz w:val="28"/>
          <w:szCs w:val="28"/>
        </w:rPr>
        <w:t>. The index assesses</w:t>
      </w:r>
      <w:r w:rsidR="00222CA5" w:rsidRPr="00B90A24">
        <w:rPr>
          <w:sz w:val="28"/>
          <w:szCs w:val="28"/>
        </w:rPr>
        <w:t xml:space="preserve"> how </w:t>
      </w:r>
      <w:r w:rsidR="00DD46EF" w:rsidRPr="00B90A24">
        <w:rPr>
          <w:sz w:val="28"/>
          <w:szCs w:val="28"/>
        </w:rPr>
        <w:t>“</w:t>
      </w:r>
      <w:r w:rsidR="00222CA5" w:rsidRPr="00B90A24">
        <w:rPr>
          <w:sz w:val="28"/>
          <w:szCs w:val="28"/>
        </w:rPr>
        <w:t>successful</w:t>
      </w:r>
      <w:r w:rsidR="00DD46EF" w:rsidRPr="00B90A24">
        <w:rPr>
          <w:sz w:val="28"/>
          <w:szCs w:val="28"/>
        </w:rPr>
        <w:t>”</w:t>
      </w:r>
      <w:r w:rsidR="00222CA5" w:rsidRPr="00B90A24">
        <w:rPr>
          <w:sz w:val="28"/>
          <w:szCs w:val="28"/>
        </w:rPr>
        <w:t xml:space="preserve"> a jurisdiction is in pursuing a corporate tax haven strategy</w:t>
      </w:r>
      <w:r w:rsidR="006D356F" w:rsidRPr="00B90A24">
        <w:rPr>
          <w:sz w:val="28"/>
          <w:szCs w:val="28"/>
        </w:rPr>
        <w:t xml:space="preserve">. This </w:t>
      </w:r>
      <w:r w:rsidR="00222CA5" w:rsidRPr="00B90A24">
        <w:rPr>
          <w:sz w:val="28"/>
          <w:szCs w:val="28"/>
        </w:rPr>
        <w:t>includes</w:t>
      </w:r>
      <w:r w:rsidR="00062A5E" w:rsidRPr="00B90A24">
        <w:rPr>
          <w:sz w:val="28"/>
          <w:szCs w:val="28"/>
        </w:rPr>
        <w:t xml:space="preserve"> how intensely a jurisdiction abuses its autonomy </w:t>
      </w:r>
      <w:r w:rsidR="006D356F" w:rsidRPr="00B90A24">
        <w:rPr>
          <w:sz w:val="28"/>
          <w:szCs w:val="28"/>
        </w:rPr>
        <w:t xml:space="preserve">in setting </w:t>
      </w:r>
      <w:r w:rsidR="00062A5E" w:rsidRPr="00B90A24">
        <w:rPr>
          <w:sz w:val="28"/>
          <w:szCs w:val="28"/>
        </w:rPr>
        <w:t>corporate income tax rules</w:t>
      </w:r>
      <w:r w:rsidR="006D356F" w:rsidRPr="00B90A24">
        <w:rPr>
          <w:sz w:val="28"/>
          <w:szCs w:val="28"/>
        </w:rPr>
        <w:t>, which</w:t>
      </w:r>
      <w:r w:rsidR="00062A5E" w:rsidRPr="00B90A24">
        <w:rPr>
          <w:sz w:val="28"/>
          <w:szCs w:val="28"/>
        </w:rPr>
        <w:t xml:space="preserve"> enable and incite tax spillovers that affect other jurisdictions</w:t>
      </w:r>
      <w:r w:rsidR="006D356F" w:rsidRPr="00B90A24">
        <w:rPr>
          <w:sz w:val="28"/>
          <w:szCs w:val="28"/>
        </w:rPr>
        <w:t xml:space="preserve"> in their own</w:t>
      </w:r>
      <w:r w:rsidR="00062A5E" w:rsidRPr="00B90A24">
        <w:rPr>
          <w:sz w:val="28"/>
          <w:szCs w:val="28"/>
        </w:rPr>
        <w:t xml:space="preserve"> rule setting and tax mix autonomy </w:t>
      </w:r>
      <w:r w:rsidR="00062A5E" w:rsidRPr="00B90A24">
        <w:rPr>
          <w:sz w:val="28"/>
          <w:szCs w:val="28"/>
        </w:rPr>
        <w:fldChar w:fldCharType="begin"/>
      </w:r>
      <w:r w:rsidR="00A06D6C" w:rsidRPr="00B90A24">
        <w:rPr>
          <w:sz w:val="28"/>
          <w:szCs w:val="28"/>
        </w:rPr>
        <w:instrText xml:space="preserve"> ADDIN ZOTERO_ITEM CSL_CITATION {"citationID":"Qn963DvV","properties":{"formattedCitation":"(Tax Justice Network, 2019c, p. 3)","plainCitation":"(Tax Justice Network, 2019c, p. 3)","noteIndex":0},"citationItems":[{"id":4234,"uris":["http://zotero.org/groups/997303/items/3QY3BQG9"],"uri":["http://zotero.org/groups/997303/items/3QY3BQG9"],"itemData":{"id":4234,"type":"report","title":"Corporate Tax Haven Index (CTHI) 2019 Methodology","URL":"https://www.corporatetaxhavenindex.org/PDF/CTHI-Methodology.pdf","author":[{"family":"Tax Justice Network","given":""}],"accessed":{"date-parts":[["2019",6,4]]},"issued":{"date-parts":[["2019"]]}},"locator":"3"}],"schema":"https://github.com/citation-style-language/schema/raw/master/csl-citation.json"} </w:instrText>
      </w:r>
      <w:r w:rsidR="00062A5E" w:rsidRPr="00B90A24">
        <w:rPr>
          <w:sz w:val="28"/>
          <w:szCs w:val="28"/>
        </w:rPr>
        <w:fldChar w:fldCharType="separate"/>
      </w:r>
      <w:r w:rsidR="00B133DE" w:rsidRPr="00B90A24">
        <w:rPr>
          <w:rFonts w:cs="Times New Roman"/>
          <w:sz w:val="28"/>
          <w:szCs w:val="28"/>
        </w:rPr>
        <w:t>(Tax Justice Network, 2019c, p. 3)</w:t>
      </w:r>
      <w:r w:rsidR="00062A5E" w:rsidRPr="00B90A24">
        <w:rPr>
          <w:sz w:val="28"/>
          <w:szCs w:val="28"/>
        </w:rPr>
        <w:fldChar w:fldCharType="end"/>
      </w:r>
      <w:r w:rsidR="00062A5E" w:rsidRPr="00B90A24">
        <w:rPr>
          <w:sz w:val="28"/>
          <w:szCs w:val="28"/>
        </w:rPr>
        <w:t xml:space="preserve">. </w:t>
      </w:r>
    </w:p>
    <w:p w14:paraId="6AF44E8A" w14:textId="77777777" w:rsidR="003430EA" w:rsidRPr="00B90A24" w:rsidRDefault="003430EA" w:rsidP="00B90A24">
      <w:pPr>
        <w:spacing w:after="0" w:line="240" w:lineRule="auto"/>
        <w:ind w:left="567" w:right="890"/>
        <w:jc w:val="both"/>
        <w:rPr>
          <w:sz w:val="28"/>
          <w:szCs w:val="28"/>
        </w:rPr>
      </w:pPr>
    </w:p>
    <w:p w14:paraId="29823656" w14:textId="3975F9C5" w:rsidR="00FC1278" w:rsidRPr="00B90A24" w:rsidRDefault="00062A5E" w:rsidP="00D7338C">
      <w:pPr>
        <w:spacing w:after="0" w:line="240" w:lineRule="auto"/>
        <w:ind w:left="709" w:right="890"/>
        <w:jc w:val="both"/>
        <w:rPr>
          <w:sz w:val="28"/>
          <w:szCs w:val="28"/>
        </w:rPr>
      </w:pPr>
      <w:r w:rsidRPr="00B90A24">
        <w:rPr>
          <w:sz w:val="28"/>
          <w:szCs w:val="28"/>
        </w:rPr>
        <w:t>The Corporate Tax Haven Index measures the tax avoidance risks of tax rules</w:t>
      </w:r>
      <w:r w:rsidR="006D356F" w:rsidRPr="00B90A24">
        <w:rPr>
          <w:sz w:val="28"/>
          <w:szCs w:val="28"/>
        </w:rPr>
        <w:t xml:space="preserve">, </w:t>
      </w:r>
      <w:r w:rsidRPr="00B90A24">
        <w:rPr>
          <w:sz w:val="28"/>
          <w:szCs w:val="28"/>
        </w:rPr>
        <w:t xml:space="preserve">other laws and documented practice across 20 indicators, grouped into five categories. Thereby, the </w:t>
      </w:r>
      <w:r w:rsidR="008D1880" w:rsidRPr="00B90A24">
        <w:rPr>
          <w:sz w:val="28"/>
          <w:szCs w:val="28"/>
        </w:rPr>
        <w:t>i</w:t>
      </w:r>
      <w:r w:rsidRPr="00B90A24">
        <w:rPr>
          <w:sz w:val="28"/>
          <w:szCs w:val="28"/>
        </w:rPr>
        <w:t xml:space="preserve">ndex outlines a comprehensive set of policies that are relevant for countering illicit financial flows </w:t>
      </w:r>
      <w:r w:rsidR="00284C4C" w:rsidRPr="00B90A24">
        <w:rPr>
          <w:sz w:val="28"/>
          <w:szCs w:val="28"/>
        </w:rPr>
        <w:t xml:space="preserve">stemming from </w:t>
      </w:r>
      <w:r w:rsidRPr="00B90A24">
        <w:rPr>
          <w:sz w:val="28"/>
          <w:szCs w:val="28"/>
        </w:rPr>
        <w:t xml:space="preserve">multinational </w:t>
      </w:r>
      <w:r w:rsidRPr="00B90A24">
        <w:rPr>
          <w:sz w:val="28"/>
          <w:szCs w:val="28"/>
        </w:rPr>
        <w:lastRenderedPageBreak/>
        <w:t xml:space="preserve">corporate tax avoidance. Using the Corporate Tax Haven Index, this </w:t>
      </w:r>
      <w:r w:rsidR="009C4E16" w:rsidRPr="00B90A24">
        <w:rPr>
          <w:sz w:val="28"/>
          <w:szCs w:val="28"/>
        </w:rPr>
        <w:t>article</w:t>
      </w:r>
      <w:r w:rsidRPr="00B90A24">
        <w:rPr>
          <w:sz w:val="28"/>
          <w:szCs w:val="28"/>
        </w:rPr>
        <w:t xml:space="preserve"> assesses how African jurisdictions are responding to the challenge of base erosion and profit shifting. It focuses on the nine African jurisdictions covered in the index: Botswana, Gambia, Ghana, Kenya, Liberia, Mauritius, Tanzania, the Seychelles and South Africa.</w:t>
      </w:r>
      <w:r w:rsidRPr="00B90A24">
        <w:rPr>
          <w:rStyle w:val="FootnoteReference"/>
          <w:sz w:val="28"/>
          <w:szCs w:val="28"/>
        </w:rPr>
        <w:footnoteReference w:id="3"/>
      </w:r>
      <w:r w:rsidRPr="00B90A24">
        <w:rPr>
          <w:sz w:val="28"/>
          <w:szCs w:val="28"/>
        </w:rPr>
        <w:t xml:space="preserve"> </w:t>
      </w:r>
      <w:r w:rsidR="008371FB" w:rsidRPr="00B90A24">
        <w:rPr>
          <w:sz w:val="28"/>
          <w:szCs w:val="28"/>
        </w:rPr>
        <w:t xml:space="preserve">The rules and regulations in these countries are compared to those in the </w:t>
      </w:r>
      <w:r w:rsidR="00340231" w:rsidRPr="00B90A24">
        <w:rPr>
          <w:sz w:val="28"/>
          <w:szCs w:val="28"/>
        </w:rPr>
        <w:t>European Union (EU)</w:t>
      </w:r>
      <w:r w:rsidR="008371FB" w:rsidRPr="00B90A24">
        <w:rPr>
          <w:sz w:val="28"/>
          <w:szCs w:val="28"/>
        </w:rPr>
        <w:t xml:space="preserve"> and Organisation for Economic Co-operation and Development (OECD) and their dependencies.</w:t>
      </w:r>
      <w:r w:rsidR="00221127" w:rsidRPr="00B90A24">
        <w:rPr>
          <w:rStyle w:val="FootnoteReference"/>
          <w:sz w:val="28"/>
          <w:szCs w:val="28"/>
        </w:rPr>
        <w:footnoteReference w:id="4"/>
      </w:r>
      <w:r w:rsidR="008371FB" w:rsidRPr="00B90A24">
        <w:rPr>
          <w:sz w:val="28"/>
          <w:szCs w:val="28"/>
        </w:rPr>
        <w:t xml:space="preserve"> </w:t>
      </w:r>
      <w:r w:rsidR="0083162C" w:rsidRPr="00B90A24">
        <w:rPr>
          <w:sz w:val="28"/>
          <w:szCs w:val="28"/>
        </w:rPr>
        <w:t xml:space="preserve">In </w:t>
      </w:r>
      <w:r w:rsidR="009C4E16" w:rsidRPr="00B90A24">
        <w:rPr>
          <w:sz w:val="28"/>
          <w:szCs w:val="28"/>
        </w:rPr>
        <w:t>section</w:t>
      </w:r>
      <w:r w:rsidR="0083162C" w:rsidRPr="00B90A24">
        <w:rPr>
          <w:sz w:val="28"/>
          <w:szCs w:val="28"/>
        </w:rPr>
        <w:t xml:space="preserve"> </w:t>
      </w:r>
      <w:r w:rsidR="002037BF" w:rsidRPr="00B90A24">
        <w:rPr>
          <w:sz w:val="28"/>
          <w:szCs w:val="28"/>
        </w:rPr>
        <w:t>two</w:t>
      </w:r>
      <w:r w:rsidR="0083162C" w:rsidRPr="00B90A24">
        <w:rPr>
          <w:sz w:val="28"/>
          <w:szCs w:val="28"/>
        </w:rPr>
        <w:t>, t</w:t>
      </w:r>
      <w:r w:rsidR="008371FB" w:rsidRPr="00B90A24">
        <w:rPr>
          <w:sz w:val="28"/>
          <w:szCs w:val="28"/>
        </w:rPr>
        <w:t>h</w:t>
      </w:r>
      <w:r w:rsidR="005731D2" w:rsidRPr="00B90A24">
        <w:rPr>
          <w:sz w:val="28"/>
          <w:szCs w:val="28"/>
        </w:rPr>
        <w:t>is article</w:t>
      </w:r>
      <w:r w:rsidR="008371FB" w:rsidRPr="00B90A24">
        <w:rPr>
          <w:sz w:val="28"/>
          <w:szCs w:val="28"/>
        </w:rPr>
        <w:t xml:space="preserve"> </w:t>
      </w:r>
      <w:r w:rsidR="005731D2" w:rsidRPr="00B90A24">
        <w:rPr>
          <w:sz w:val="28"/>
          <w:szCs w:val="28"/>
        </w:rPr>
        <w:t xml:space="preserve">proceeds to </w:t>
      </w:r>
      <w:r w:rsidR="008371FB" w:rsidRPr="00B90A24">
        <w:rPr>
          <w:sz w:val="28"/>
          <w:szCs w:val="28"/>
        </w:rPr>
        <w:t xml:space="preserve">explain the </w:t>
      </w:r>
      <w:r w:rsidR="00BC196B" w:rsidRPr="00B90A24">
        <w:rPr>
          <w:sz w:val="28"/>
          <w:szCs w:val="28"/>
        </w:rPr>
        <w:t>methodolog</w:t>
      </w:r>
      <w:r w:rsidR="008371FB" w:rsidRPr="00B90A24">
        <w:rPr>
          <w:sz w:val="28"/>
          <w:szCs w:val="28"/>
        </w:rPr>
        <w:t>y</w:t>
      </w:r>
      <w:r w:rsidR="00BC196B" w:rsidRPr="00B90A24">
        <w:rPr>
          <w:sz w:val="28"/>
          <w:szCs w:val="28"/>
        </w:rPr>
        <w:t xml:space="preserve"> of the index</w:t>
      </w:r>
      <w:r w:rsidR="00DA662D" w:rsidRPr="00B90A24">
        <w:rPr>
          <w:sz w:val="28"/>
          <w:szCs w:val="28"/>
        </w:rPr>
        <w:t xml:space="preserve">. The </w:t>
      </w:r>
      <w:r w:rsidR="004A7CCC" w:rsidRPr="00B90A24">
        <w:rPr>
          <w:sz w:val="28"/>
          <w:szCs w:val="28"/>
        </w:rPr>
        <w:t xml:space="preserve">findings from a </w:t>
      </w:r>
      <w:r w:rsidR="00DA662D" w:rsidRPr="00B90A24">
        <w:rPr>
          <w:sz w:val="28"/>
          <w:szCs w:val="28"/>
        </w:rPr>
        <w:t>comparative</w:t>
      </w:r>
      <w:r w:rsidR="008371FB" w:rsidRPr="00B90A24">
        <w:rPr>
          <w:sz w:val="28"/>
          <w:szCs w:val="28"/>
        </w:rPr>
        <w:t xml:space="preserve"> analysis </w:t>
      </w:r>
      <w:r w:rsidR="004A7CCC" w:rsidRPr="00B90A24">
        <w:rPr>
          <w:sz w:val="28"/>
          <w:szCs w:val="28"/>
        </w:rPr>
        <w:t xml:space="preserve">of the </w:t>
      </w:r>
      <w:r w:rsidR="008371FB" w:rsidRPr="00B90A24">
        <w:rPr>
          <w:sz w:val="28"/>
          <w:szCs w:val="28"/>
        </w:rPr>
        <w:t xml:space="preserve">five </w:t>
      </w:r>
      <w:r w:rsidR="00970665" w:rsidRPr="00B90A24">
        <w:rPr>
          <w:sz w:val="28"/>
          <w:szCs w:val="28"/>
        </w:rPr>
        <w:t xml:space="preserve">categories </w:t>
      </w:r>
      <w:r w:rsidR="008371FB" w:rsidRPr="00B90A24">
        <w:rPr>
          <w:sz w:val="28"/>
          <w:szCs w:val="28"/>
        </w:rPr>
        <w:t xml:space="preserve">of haven indicators </w:t>
      </w:r>
      <w:r w:rsidR="00970665" w:rsidRPr="00B90A24">
        <w:rPr>
          <w:sz w:val="28"/>
          <w:szCs w:val="28"/>
        </w:rPr>
        <w:t xml:space="preserve">are discussed </w:t>
      </w:r>
      <w:r w:rsidR="005731D2" w:rsidRPr="00B90A24">
        <w:rPr>
          <w:sz w:val="28"/>
          <w:szCs w:val="28"/>
        </w:rPr>
        <w:t xml:space="preserve">in </w:t>
      </w:r>
      <w:r w:rsidR="009C4E16" w:rsidRPr="00B90A24">
        <w:rPr>
          <w:sz w:val="28"/>
          <w:szCs w:val="28"/>
        </w:rPr>
        <w:t>section</w:t>
      </w:r>
      <w:r w:rsidR="005731D2" w:rsidRPr="00B90A24">
        <w:rPr>
          <w:sz w:val="28"/>
          <w:szCs w:val="28"/>
        </w:rPr>
        <w:t xml:space="preserve"> </w:t>
      </w:r>
      <w:r w:rsidR="002037BF" w:rsidRPr="00B90A24">
        <w:rPr>
          <w:sz w:val="28"/>
          <w:szCs w:val="28"/>
        </w:rPr>
        <w:t>three</w:t>
      </w:r>
      <w:r w:rsidR="00943C4B" w:rsidRPr="00B90A24">
        <w:rPr>
          <w:sz w:val="28"/>
          <w:szCs w:val="28"/>
        </w:rPr>
        <w:t xml:space="preserve"> (</w:t>
      </w:r>
      <w:r w:rsidR="008371FB" w:rsidRPr="00B90A24">
        <w:rPr>
          <w:sz w:val="28"/>
          <w:szCs w:val="28"/>
        </w:rPr>
        <w:t>the lowest available corporate income tax</w:t>
      </w:r>
      <w:r w:rsidR="00943C4B" w:rsidRPr="00B90A24">
        <w:rPr>
          <w:sz w:val="28"/>
          <w:szCs w:val="28"/>
        </w:rPr>
        <w:t xml:space="preserve"> rate</w:t>
      </w:r>
      <w:r w:rsidR="008371FB" w:rsidRPr="00B90A24">
        <w:rPr>
          <w:sz w:val="28"/>
          <w:szCs w:val="28"/>
        </w:rPr>
        <w:t>, loopholes and gaps, transparency, anti-avoidance and double tax treaty aggressiveness</w:t>
      </w:r>
      <w:r w:rsidR="00222CA5" w:rsidRPr="00B90A24">
        <w:rPr>
          <w:sz w:val="28"/>
          <w:szCs w:val="28"/>
        </w:rPr>
        <w:t>)</w:t>
      </w:r>
      <w:r w:rsidR="008371FB" w:rsidRPr="00B90A24">
        <w:rPr>
          <w:sz w:val="28"/>
          <w:szCs w:val="28"/>
        </w:rPr>
        <w:t xml:space="preserve">. </w:t>
      </w:r>
      <w:r w:rsidR="009C4E16" w:rsidRPr="00B90A24">
        <w:rPr>
          <w:sz w:val="28"/>
          <w:szCs w:val="28"/>
        </w:rPr>
        <w:t>Section</w:t>
      </w:r>
      <w:r w:rsidR="002037BF" w:rsidRPr="00B90A24">
        <w:rPr>
          <w:sz w:val="28"/>
          <w:szCs w:val="28"/>
        </w:rPr>
        <w:t xml:space="preserve"> four </w:t>
      </w:r>
      <w:r w:rsidR="003F3D2B" w:rsidRPr="00B90A24">
        <w:rPr>
          <w:sz w:val="28"/>
          <w:szCs w:val="28"/>
        </w:rPr>
        <w:t>concludes</w:t>
      </w:r>
      <w:r w:rsidR="009C4E16" w:rsidRPr="00B90A24">
        <w:rPr>
          <w:sz w:val="28"/>
          <w:szCs w:val="28"/>
        </w:rPr>
        <w:t xml:space="preserve"> the article</w:t>
      </w:r>
      <w:r w:rsidR="002037BF" w:rsidRPr="00B90A24">
        <w:rPr>
          <w:sz w:val="28"/>
          <w:szCs w:val="28"/>
        </w:rPr>
        <w:t>.</w:t>
      </w:r>
    </w:p>
    <w:p w14:paraId="6DDE6789" w14:textId="77777777" w:rsidR="00A9558A" w:rsidRPr="00B90A24" w:rsidRDefault="00A9558A" w:rsidP="00B90A24">
      <w:pPr>
        <w:spacing w:after="0" w:line="240" w:lineRule="auto"/>
        <w:ind w:left="567" w:right="890"/>
        <w:jc w:val="both"/>
        <w:rPr>
          <w:sz w:val="28"/>
          <w:szCs w:val="28"/>
        </w:rPr>
      </w:pPr>
    </w:p>
    <w:p w14:paraId="01E65EC8" w14:textId="36198635" w:rsidR="00AF60AC" w:rsidRPr="00B90A24" w:rsidRDefault="00A9558A" w:rsidP="00B90A24">
      <w:pPr>
        <w:pStyle w:val="Heading1"/>
        <w:spacing w:before="0" w:line="240" w:lineRule="auto"/>
        <w:ind w:left="567" w:right="890" w:hanging="283"/>
        <w:rPr>
          <w:color w:val="0070C0"/>
          <w:sz w:val="28"/>
        </w:rPr>
      </w:pPr>
      <w:bookmarkStart w:id="1" w:name="_Toc17879115"/>
      <w:bookmarkStart w:id="2" w:name="_Hlk34728198"/>
      <w:r w:rsidRPr="00B90A24">
        <w:rPr>
          <w:color w:val="0070C0"/>
          <w:sz w:val="28"/>
        </w:rPr>
        <w:t>METHODOLOGY</w:t>
      </w:r>
      <w:r w:rsidR="00AF60AC" w:rsidRPr="00B90A24">
        <w:rPr>
          <w:rStyle w:val="FootnoteReference"/>
          <w:color w:val="0070C0"/>
          <w:sz w:val="28"/>
        </w:rPr>
        <w:footnoteReference w:id="5"/>
      </w:r>
      <w:bookmarkEnd w:id="1"/>
    </w:p>
    <w:p w14:paraId="6DE19453" w14:textId="77777777" w:rsidR="00A9558A" w:rsidRPr="00B90A24" w:rsidRDefault="00A9558A" w:rsidP="00B90A24">
      <w:pPr>
        <w:spacing w:after="0" w:line="240" w:lineRule="auto"/>
        <w:ind w:left="567" w:right="890"/>
        <w:jc w:val="both"/>
        <w:rPr>
          <w:sz w:val="28"/>
          <w:szCs w:val="28"/>
        </w:rPr>
      </w:pPr>
    </w:p>
    <w:p w14:paraId="004F4BD3" w14:textId="02625D87" w:rsidR="00AF60AC" w:rsidRPr="00B90A24" w:rsidRDefault="00AF60AC" w:rsidP="00D7338C">
      <w:pPr>
        <w:spacing w:after="0" w:line="240" w:lineRule="auto"/>
        <w:ind w:left="709" w:right="890"/>
        <w:jc w:val="both"/>
        <w:rPr>
          <w:sz w:val="28"/>
          <w:szCs w:val="28"/>
        </w:rPr>
      </w:pPr>
      <w:r w:rsidRPr="00B90A24">
        <w:rPr>
          <w:sz w:val="28"/>
          <w:szCs w:val="28"/>
        </w:rPr>
        <w:t>Each of the 64 jurisdictions in the Corporate Tax Haven Index receives an overall value</w:t>
      </w:r>
      <w:r w:rsidR="00E3116B" w:rsidRPr="00B90A24">
        <w:rPr>
          <w:sz w:val="28"/>
          <w:szCs w:val="28"/>
        </w:rPr>
        <w:t xml:space="preserve"> to determine its ranking</w:t>
      </w:r>
      <w:r w:rsidRPr="00B90A24">
        <w:rPr>
          <w:sz w:val="28"/>
          <w:szCs w:val="28"/>
        </w:rPr>
        <w:t xml:space="preserve">. </w:t>
      </w:r>
      <w:r w:rsidR="00490710" w:rsidRPr="00B90A24">
        <w:rPr>
          <w:sz w:val="28"/>
          <w:szCs w:val="28"/>
        </w:rPr>
        <w:t xml:space="preserve">This value </w:t>
      </w:r>
      <w:r w:rsidR="00E3116B" w:rsidRPr="00B90A24">
        <w:rPr>
          <w:sz w:val="28"/>
          <w:szCs w:val="28"/>
        </w:rPr>
        <w:t xml:space="preserve">is calculated by </w:t>
      </w:r>
      <w:r w:rsidR="00E40051" w:rsidRPr="00B90A24">
        <w:rPr>
          <w:sz w:val="28"/>
          <w:szCs w:val="28"/>
        </w:rPr>
        <w:t xml:space="preserve">a formula </w:t>
      </w:r>
      <w:r w:rsidR="00E3116B" w:rsidRPr="00B90A24">
        <w:rPr>
          <w:sz w:val="28"/>
          <w:szCs w:val="28"/>
        </w:rPr>
        <w:t xml:space="preserve">combining </w:t>
      </w:r>
      <w:r w:rsidR="001865FC" w:rsidRPr="00B90A24">
        <w:rPr>
          <w:sz w:val="28"/>
          <w:szCs w:val="28"/>
        </w:rPr>
        <w:t xml:space="preserve">the values of </w:t>
      </w:r>
      <w:r w:rsidR="00E3116B" w:rsidRPr="00B90A24">
        <w:rPr>
          <w:sz w:val="28"/>
          <w:szCs w:val="28"/>
        </w:rPr>
        <w:t>t</w:t>
      </w:r>
      <w:r w:rsidRPr="00B90A24">
        <w:rPr>
          <w:sz w:val="28"/>
          <w:szCs w:val="28"/>
        </w:rPr>
        <w:t>wo</w:t>
      </w:r>
      <w:r w:rsidR="00761E5F" w:rsidRPr="00B90A24">
        <w:rPr>
          <w:sz w:val="28"/>
          <w:szCs w:val="28"/>
        </w:rPr>
        <w:t xml:space="preserve"> components</w:t>
      </w:r>
      <w:r w:rsidR="55F9B446" w:rsidRPr="00B90A24">
        <w:rPr>
          <w:sz w:val="28"/>
          <w:szCs w:val="28"/>
        </w:rPr>
        <w:t xml:space="preserve">, </w:t>
      </w:r>
      <w:r w:rsidRPr="00B90A24">
        <w:rPr>
          <w:sz w:val="28"/>
          <w:szCs w:val="28"/>
        </w:rPr>
        <w:t xml:space="preserve">the haven score and the global scale weight. The haven score measures the potential risk that a jurisdiction becomes a destination for profit shifting, </w:t>
      </w:r>
      <w:r w:rsidR="008E3783" w:rsidRPr="00B90A24">
        <w:rPr>
          <w:sz w:val="28"/>
          <w:szCs w:val="28"/>
        </w:rPr>
        <w:t xml:space="preserve">eroding </w:t>
      </w:r>
      <w:r w:rsidRPr="00B90A24">
        <w:rPr>
          <w:sz w:val="28"/>
          <w:szCs w:val="28"/>
        </w:rPr>
        <w:t xml:space="preserve">the tax base of other jurisdictions, which </w:t>
      </w:r>
      <w:r w:rsidR="00D375F1" w:rsidRPr="00B90A24">
        <w:rPr>
          <w:sz w:val="28"/>
          <w:szCs w:val="28"/>
        </w:rPr>
        <w:t xml:space="preserve">contributes </w:t>
      </w:r>
      <w:r w:rsidRPr="00B90A24">
        <w:rPr>
          <w:sz w:val="28"/>
          <w:szCs w:val="28"/>
        </w:rPr>
        <w:t xml:space="preserve">to a race to the bottom in taxing companies. The actual risk of a jurisdiction having these negative effects is determined by combining the haven score and the global scale weight. The global scale weight is the quantitative component that measures the relevance of each jurisdiction for </w:t>
      </w:r>
      <w:r w:rsidR="00B5507A" w:rsidRPr="00B90A24">
        <w:rPr>
          <w:sz w:val="28"/>
          <w:szCs w:val="28"/>
        </w:rPr>
        <w:t xml:space="preserve">foreign </w:t>
      </w:r>
      <w:r w:rsidRPr="00B90A24">
        <w:rPr>
          <w:sz w:val="28"/>
          <w:szCs w:val="28"/>
        </w:rPr>
        <w:t>direct investment</w:t>
      </w:r>
      <w:r w:rsidR="00B5507A" w:rsidRPr="00B90A24">
        <w:rPr>
          <w:sz w:val="28"/>
          <w:szCs w:val="28"/>
        </w:rPr>
        <w:t xml:space="preserve"> (FDI)</w:t>
      </w:r>
      <w:r w:rsidRPr="00B90A24">
        <w:rPr>
          <w:sz w:val="28"/>
          <w:szCs w:val="28"/>
        </w:rPr>
        <w:t xml:space="preserve">. </w:t>
      </w:r>
      <w:r w:rsidR="00582D87" w:rsidRPr="00B90A24">
        <w:rPr>
          <w:sz w:val="28"/>
          <w:szCs w:val="28"/>
        </w:rPr>
        <w:t xml:space="preserve">Over 80% of the world’s </w:t>
      </w:r>
      <w:r w:rsidR="00CA416A" w:rsidRPr="00B90A24">
        <w:rPr>
          <w:sz w:val="28"/>
          <w:szCs w:val="28"/>
        </w:rPr>
        <w:t>total</w:t>
      </w:r>
      <w:r w:rsidR="00582D87" w:rsidRPr="00B90A24" w:rsidDel="00CA416A">
        <w:rPr>
          <w:sz w:val="28"/>
          <w:szCs w:val="28"/>
        </w:rPr>
        <w:t xml:space="preserve"> </w:t>
      </w:r>
      <w:r w:rsidR="6FDFE907" w:rsidRPr="00B90A24">
        <w:rPr>
          <w:sz w:val="28"/>
          <w:szCs w:val="28"/>
        </w:rPr>
        <w:t>FDI</w:t>
      </w:r>
      <w:r w:rsidR="730903DC" w:rsidRPr="00B90A24">
        <w:rPr>
          <w:sz w:val="28"/>
          <w:szCs w:val="28"/>
        </w:rPr>
        <w:t xml:space="preserve"> </w:t>
      </w:r>
      <w:r w:rsidR="3DA3F543" w:rsidRPr="00B90A24">
        <w:rPr>
          <w:sz w:val="28"/>
          <w:szCs w:val="28"/>
        </w:rPr>
        <w:t xml:space="preserve">stock </w:t>
      </w:r>
      <w:r w:rsidR="500F9934" w:rsidRPr="00B90A24">
        <w:rPr>
          <w:sz w:val="28"/>
          <w:szCs w:val="28"/>
        </w:rPr>
        <w:t xml:space="preserve">is </w:t>
      </w:r>
      <w:r w:rsidR="12BD25A5" w:rsidRPr="00B90A24">
        <w:rPr>
          <w:sz w:val="28"/>
          <w:szCs w:val="28"/>
        </w:rPr>
        <w:t>booked in</w:t>
      </w:r>
      <w:r w:rsidR="00582D87" w:rsidRPr="00B90A24" w:rsidDel="00734B61">
        <w:rPr>
          <w:sz w:val="28"/>
          <w:szCs w:val="28"/>
        </w:rPr>
        <w:t xml:space="preserve"> </w:t>
      </w:r>
      <w:r w:rsidR="00582D87" w:rsidRPr="00B90A24">
        <w:rPr>
          <w:sz w:val="28"/>
          <w:szCs w:val="28"/>
        </w:rPr>
        <w:t>the 64 jurisdictions included in the index</w:t>
      </w:r>
      <w:r w:rsidR="00734B61" w:rsidRPr="00B90A24">
        <w:rPr>
          <w:sz w:val="28"/>
          <w:szCs w:val="28"/>
        </w:rPr>
        <w:t xml:space="preserve"> </w:t>
      </w:r>
      <w:r w:rsidR="00734B61" w:rsidRPr="00B90A24">
        <w:rPr>
          <w:sz w:val="28"/>
          <w:szCs w:val="28"/>
        </w:rPr>
        <w:fldChar w:fldCharType="begin"/>
      </w:r>
      <w:r w:rsidR="00500851" w:rsidRPr="00B90A24">
        <w:rPr>
          <w:sz w:val="28"/>
          <w:szCs w:val="28"/>
        </w:rPr>
        <w:instrText xml:space="preserve"> ADDIN ZOTERO_ITEM CSL_CITATION {"citationID":"Mue6Bb22","properties":{"formattedCitation":"(Ates et al., forthcoming, p. 137)","plainCitation":"(Ates et al., forthcoming, p. 137)","noteIndex":0},"citationItems":[{"id":5503,"uris":["http://zotero.org/groups/997303/items/ZM799E5W"],"uri":["http://zotero.org/groups/997303/items/ZM799E5W"],"itemData":{"id":5503,"type":"chapter","container-title":"COFFERS volume","publisher":"Oxford University Press","title":"The Corporate Tax Haven Index: A new geography of profit shifting","author":[{"family":"Ates","given":"Leyla"},{"family":"Cobham","given":"Alex"},{"family":"Harari","given":"Moran"},{"family":"Janský","given":"Petr"},{"family":"Meinzer","given":"Markus"},{"family":"Millan-Narotzky","given":"Lucas"},{"family":"Palanský","given":"Miroslav"}],"issued":{"literal":"forthcoming"}},"locator":"137"}],"schema":"https://github.com/citation-style-language/schema/raw/master/csl-citation.json"} </w:instrText>
      </w:r>
      <w:r w:rsidR="00734B61" w:rsidRPr="00B90A24">
        <w:rPr>
          <w:sz w:val="28"/>
          <w:szCs w:val="28"/>
        </w:rPr>
        <w:fldChar w:fldCharType="separate"/>
      </w:r>
      <w:r w:rsidR="00B133DE" w:rsidRPr="00B90A24">
        <w:rPr>
          <w:rFonts w:cs="Times New Roman"/>
          <w:sz w:val="28"/>
          <w:szCs w:val="28"/>
        </w:rPr>
        <w:t>(Ates et al., forthcoming, p. 137)</w:t>
      </w:r>
      <w:r w:rsidR="00734B61" w:rsidRPr="00B90A24">
        <w:rPr>
          <w:sz w:val="28"/>
          <w:szCs w:val="28"/>
        </w:rPr>
        <w:fldChar w:fldCharType="end"/>
      </w:r>
      <w:r w:rsidR="00582D87" w:rsidRPr="00B90A24">
        <w:rPr>
          <w:sz w:val="28"/>
          <w:szCs w:val="28"/>
        </w:rPr>
        <w:t>.</w:t>
      </w:r>
    </w:p>
    <w:p w14:paraId="60183FF2" w14:textId="77777777" w:rsidR="00A9558A" w:rsidRPr="00B90A24" w:rsidDel="00D53D41" w:rsidRDefault="00A9558A" w:rsidP="00B90A24">
      <w:pPr>
        <w:spacing w:after="0" w:line="240" w:lineRule="auto"/>
        <w:ind w:left="567" w:right="890"/>
        <w:jc w:val="both"/>
        <w:rPr>
          <w:sz w:val="28"/>
          <w:szCs w:val="28"/>
        </w:rPr>
      </w:pPr>
    </w:p>
    <w:p w14:paraId="4A23C31E" w14:textId="37A5F9A4" w:rsidR="00A9558A" w:rsidRPr="00B90A24" w:rsidRDefault="00AF60AC" w:rsidP="00D7338C">
      <w:pPr>
        <w:spacing w:after="0" w:line="240" w:lineRule="auto"/>
        <w:ind w:left="709" w:right="890"/>
        <w:jc w:val="both"/>
        <w:rPr>
          <w:sz w:val="28"/>
          <w:szCs w:val="28"/>
        </w:rPr>
      </w:pPr>
      <w:r w:rsidRPr="00B90A24">
        <w:rPr>
          <w:sz w:val="28"/>
          <w:szCs w:val="28"/>
        </w:rPr>
        <w:t>The</w:t>
      </w:r>
      <w:r w:rsidRPr="00B90A24" w:rsidDel="00537D2C">
        <w:rPr>
          <w:sz w:val="28"/>
          <w:szCs w:val="28"/>
        </w:rPr>
        <w:t xml:space="preserve"> </w:t>
      </w:r>
      <w:r w:rsidRPr="00B90A24">
        <w:rPr>
          <w:sz w:val="28"/>
          <w:szCs w:val="28"/>
        </w:rPr>
        <w:t xml:space="preserve">haven score is derived from 20 indicators which are grouped into five categories, as presented in </w:t>
      </w:r>
      <w:r w:rsidR="00FC1278" w:rsidRPr="00B90A24">
        <w:rPr>
          <w:sz w:val="28"/>
          <w:szCs w:val="28"/>
        </w:rPr>
        <w:fldChar w:fldCharType="begin"/>
      </w:r>
      <w:r w:rsidR="00FC1278" w:rsidRPr="00B90A24">
        <w:rPr>
          <w:sz w:val="28"/>
          <w:szCs w:val="28"/>
        </w:rPr>
        <w:instrText xml:space="preserve"> REF _Ref10779611 \h </w:instrText>
      </w:r>
      <w:r w:rsidR="008371FB" w:rsidRPr="00B90A24">
        <w:rPr>
          <w:sz w:val="28"/>
          <w:szCs w:val="28"/>
        </w:rPr>
        <w:instrText xml:space="preserve"> \* MERGEFORMAT </w:instrText>
      </w:r>
      <w:r w:rsidR="00FC1278" w:rsidRPr="00B90A24">
        <w:rPr>
          <w:sz w:val="28"/>
          <w:szCs w:val="28"/>
        </w:rPr>
      </w:r>
      <w:r w:rsidR="00FC1278" w:rsidRPr="00B90A24">
        <w:rPr>
          <w:sz w:val="28"/>
          <w:szCs w:val="28"/>
        </w:rPr>
        <w:fldChar w:fldCharType="separate"/>
      </w:r>
      <w:r w:rsidR="00B122C4" w:rsidRPr="00B90A24">
        <w:rPr>
          <w:sz w:val="28"/>
          <w:szCs w:val="28"/>
        </w:rPr>
        <w:t xml:space="preserve">Figure </w:t>
      </w:r>
      <w:r w:rsidR="00B122C4" w:rsidRPr="00B90A24">
        <w:rPr>
          <w:noProof/>
          <w:sz w:val="28"/>
          <w:szCs w:val="28"/>
        </w:rPr>
        <w:t>1</w:t>
      </w:r>
      <w:r w:rsidR="00FC1278" w:rsidRPr="00B90A24">
        <w:rPr>
          <w:sz w:val="28"/>
          <w:szCs w:val="28"/>
        </w:rPr>
        <w:fldChar w:fldCharType="end"/>
      </w:r>
      <w:r w:rsidR="009818B5" w:rsidRPr="00B90A24">
        <w:rPr>
          <w:sz w:val="28"/>
          <w:szCs w:val="28"/>
        </w:rPr>
        <w:t xml:space="preserve"> below</w:t>
      </w:r>
      <w:r w:rsidR="00FC1278" w:rsidRPr="00B90A24">
        <w:rPr>
          <w:sz w:val="28"/>
          <w:szCs w:val="28"/>
        </w:rPr>
        <w:t>.</w:t>
      </w:r>
      <w:r w:rsidRPr="00B90A24">
        <w:rPr>
          <w:sz w:val="28"/>
          <w:szCs w:val="28"/>
        </w:rPr>
        <w:t xml:space="preserve"> The haven score is the average of the five categories</w:t>
      </w:r>
      <w:r w:rsidR="00CE5143" w:rsidRPr="00B90A24">
        <w:rPr>
          <w:sz w:val="28"/>
          <w:szCs w:val="28"/>
        </w:rPr>
        <w:t xml:space="preserve">. </w:t>
      </w:r>
      <w:r w:rsidR="00E05FC1" w:rsidRPr="00B90A24">
        <w:rPr>
          <w:sz w:val="28"/>
          <w:szCs w:val="28"/>
        </w:rPr>
        <w:t>Section</w:t>
      </w:r>
      <w:r w:rsidR="00CE5143" w:rsidRPr="00B90A24">
        <w:rPr>
          <w:sz w:val="28"/>
          <w:szCs w:val="28"/>
        </w:rPr>
        <w:t xml:space="preserve"> three provides more details </w:t>
      </w:r>
      <w:r w:rsidR="501DEDD9" w:rsidRPr="00B90A24">
        <w:rPr>
          <w:sz w:val="28"/>
          <w:szCs w:val="28"/>
        </w:rPr>
        <w:t>about</w:t>
      </w:r>
      <w:r w:rsidR="00FC1278" w:rsidRPr="00B90A24" w:rsidDel="00CE5143">
        <w:rPr>
          <w:sz w:val="28"/>
          <w:szCs w:val="28"/>
        </w:rPr>
        <w:t xml:space="preserve"> </w:t>
      </w:r>
      <w:r w:rsidR="00FC1278" w:rsidRPr="00B90A24">
        <w:rPr>
          <w:sz w:val="28"/>
          <w:szCs w:val="28"/>
        </w:rPr>
        <w:t xml:space="preserve">how the score for each category is calculated. </w:t>
      </w:r>
      <w:r w:rsidRPr="00B90A24">
        <w:rPr>
          <w:sz w:val="28"/>
          <w:szCs w:val="28"/>
        </w:rPr>
        <w:t xml:space="preserve">In general, a jurisdiction receives a score </w:t>
      </w:r>
      <w:r w:rsidR="4CF02DC3" w:rsidRPr="00B90A24">
        <w:rPr>
          <w:sz w:val="28"/>
          <w:szCs w:val="28"/>
        </w:rPr>
        <w:t>of</w:t>
      </w:r>
      <w:r w:rsidRPr="00B90A24">
        <w:rPr>
          <w:sz w:val="28"/>
          <w:szCs w:val="28"/>
        </w:rPr>
        <w:t xml:space="preserve"> between 0 and 100 for each indicator</w:t>
      </w:r>
      <w:r w:rsidR="002E4727" w:rsidRPr="00B90A24">
        <w:rPr>
          <w:sz w:val="28"/>
          <w:szCs w:val="28"/>
        </w:rPr>
        <w:t xml:space="preserve">: </w:t>
      </w:r>
      <w:r w:rsidRPr="00B90A24">
        <w:rPr>
          <w:sz w:val="28"/>
          <w:szCs w:val="28"/>
        </w:rPr>
        <w:t xml:space="preserve">0 corresponds to there being no tax avoidance risk or zero corporate tax haven attributes, and 100 signifies full corporate tax haven attributes and maximum spillover risk. Data is collected for each of the numbered IDs, </w:t>
      </w:r>
      <w:r w:rsidR="002E4727" w:rsidRPr="00B90A24">
        <w:rPr>
          <w:sz w:val="28"/>
          <w:szCs w:val="28"/>
        </w:rPr>
        <w:t>drawing from</w:t>
      </w:r>
      <w:r w:rsidRPr="00B90A24">
        <w:rPr>
          <w:sz w:val="28"/>
          <w:szCs w:val="28"/>
        </w:rPr>
        <w:t xml:space="preserve"> laws, regulations and documented practices in each jurisdiction. The themes of most of these indicators overlap with the </w:t>
      </w:r>
      <w:r w:rsidR="00FC1278" w:rsidRPr="00B90A24">
        <w:rPr>
          <w:sz w:val="28"/>
          <w:szCs w:val="28"/>
        </w:rPr>
        <w:t>OECD</w:t>
      </w:r>
      <w:r w:rsidR="008371FB" w:rsidRPr="00B90A24">
        <w:rPr>
          <w:sz w:val="28"/>
          <w:szCs w:val="28"/>
        </w:rPr>
        <w:t>’s</w:t>
      </w:r>
      <w:r w:rsidRPr="00B90A24">
        <w:rPr>
          <w:sz w:val="28"/>
          <w:szCs w:val="28"/>
        </w:rPr>
        <w:t xml:space="preserve"> 15 actions under the Base Erosion and Profit Shifting </w:t>
      </w:r>
      <w:r w:rsidR="00E654E5" w:rsidRPr="00B90A24">
        <w:rPr>
          <w:sz w:val="28"/>
          <w:szCs w:val="28"/>
        </w:rPr>
        <w:t xml:space="preserve">(BEPS) </w:t>
      </w:r>
      <w:r w:rsidRPr="00B90A24">
        <w:rPr>
          <w:sz w:val="28"/>
          <w:szCs w:val="28"/>
        </w:rPr>
        <w:t>project, and particularly Action 5 on harmful tax practices,</w:t>
      </w:r>
      <w:r w:rsidR="00761E5F" w:rsidRPr="00B90A24">
        <w:rPr>
          <w:sz w:val="28"/>
          <w:szCs w:val="28"/>
        </w:rPr>
        <w:t xml:space="preserve"> and</w:t>
      </w:r>
      <w:r w:rsidRPr="00B90A24">
        <w:rPr>
          <w:sz w:val="28"/>
          <w:szCs w:val="28"/>
        </w:rPr>
        <w:t xml:space="preserve"> with the International </w:t>
      </w:r>
      <w:r w:rsidRPr="00B90A24">
        <w:rPr>
          <w:sz w:val="28"/>
          <w:szCs w:val="28"/>
        </w:rPr>
        <w:lastRenderedPageBreak/>
        <w:t>Monetary Fund’s</w:t>
      </w:r>
      <w:r w:rsidR="00F445DD" w:rsidRPr="00B90A24">
        <w:rPr>
          <w:sz w:val="28"/>
          <w:szCs w:val="28"/>
        </w:rPr>
        <w:t xml:space="preserve"> (IMF)</w:t>
      </w:r>
      <w:r w:rsidRPr="00B90A24">
        <w:rPr>
          <w:sz w:val="28"/>
          <w:szCs w:val="28"/>
        </w:rPr>
        <w:t xml:space="preserve"> spillover</w:t>
      </w:r>
      <w:r w:rsidR="00761E5F" w:rsidRPr="00B90A24">
        <w:rPr>
          <w:sz w:val="28"/>
          <w:szCs w:val="28"/>
        </w:rPr>
        <w:t xml:space="preserve"> approach</w:t>
      </w:r>
      <w:r w:rsidR="002A4AC6" w:rsidRPr="00B90A24">
        <w:rPr>
          <w:sz w:val="28"/>
          <w:szCs w:val="28"/>
        </w:rPr>
        <w:t xml:space="preserve"> </w:t>
      </w:r>
      <w:r w:rsidRPr="00B90A24">
        <w:rPr>
          <w:sz w:val="28"/>
          <w:szCs w:val="28"/>
        </w:rPr>
        <w:fldChar w:fldCharType="begin"/>
      </w:r>
      <w:r w:rsidR="00500851" w:rsidRPr="00B90A24">
        <w:rPr>
          <w:sz w:val="28"/>
          <w:szCs w:val="28"/>
        </w:rPr>
        <w:instrText xml:space="preserve"> ADDIN ZOTERO_ITEM CSL_CITATION {"citationID":"z14mncEJ","properties":{"formattedCitation":"(International Monetary Fund, 2014)","plainCitation":"(International Monetary Fund, 2014)","noteIndex":0},"citationItems":[{"id":4136,"uris":["http://zotero.org/groups/997303/items/L8AL77ZG"],"uri":["http://zotero.org/groups/997303/items/L8AL77ZG"],"itemData":{"id":4136,"type":"report","genre":"IMF Policy Briefs","title":"Spillovers in international corporate taxation","URL":"https://www.imf.org/external/np/pp/eng/2014/050914.pdf","author":[{"family":"International Monetary Fund","given":""}],"accessed":{"date-parts":[["2019",5,23]]},"issued":{"date-parts":[["2014",5,9]]}}}],"schema":"https://github.com/citation-style-language/schema/raw/master/csl-citation.json"} </w:instrText>
      </w:r>
      <w:r w:rsidRPr="00B90A24">
        <w:rPr>
          <w:sz w:val="28"/>
          <w:szCs w:val="28"/>
        </w:rPr>
        <w:fldChar w:fldCharType="separate"/>
      </w:r>
      <w:r w:rsidR="00B133DE" w:rsidRPr="00B90A24">
        <w:rPr>
          <w:rFonts w:cs="Times New Roman"/>
          <w:sz w:val="28"/>
          <w:szCs w:val="28"/>
        </w:rPr>
        <w:t>(International Monetary Fund, 2014)</w:t>
      </w:r>
      <w:r w:rsidRPr="00B90A24">
        <w:rPr>
          <w:sz w:val="28"/>
          <w:szCs w:val="28"/>
        </w:rPr>
        <w:fldChar w:fldCharType="end"/>
      </w:r>
      <w:r w:rsidR="00222CA5" w:rsidRPr="00B90A24">
        <w:rPr>
          <w:sz w:val="28"/>
          <w:szCs w:val="28"/>
        </w:rPr>
        <w:t xml:space="preserve">. They </w:t>
      </w:r>
      <w:r w:rsidR="00F83955" w:rsidRPr="00B90A24">
        <w:rPr>
          <w:sz w:val="28"/>
          <w:szCs w:val="28"/>
        </w:rPr>
        <w:t xml:space="preserve">serve </w:t>
      </w:r>
      <w:r w:rsidRPr="00B90A24">
        <w:rPr>
          <w:sz w:val="28"/>
          <w:szCs w:val="28"/>
        </w:rPr>
        <w:t>as benchmarks for countries to tackle illicit financial flows stemming from base erosion</w:t>
      </w:r>
      <w:r w:rsidR="002E4727" w:rsidRPr="00B90A24">
        <w:rPr>
          <w:sz w:val="28"/>
          <w:szCs w:val="28"/>
        </w:rPr>
        <w:t xml:space="preserve"> and profit shifting</w:t>
      </w:r>
      <w:r w:rsidRPr="00B90A24">
        <w:rPr>
          <w:sz w:val="28"/>
          <w:szCs w:val="28"/>
        </w:rPr>
        <w:t xml:space="preserve"> by multinational companies.</w:t>
      </w:r>
    </w:p>
    <w:p w14:paraId="452A55BB" w14:textId="77777777" w:rsidR="003430EA" w:rsidRPr="00B90A24" w:rsidRDefault="003430EA" w:rsidP="00B90A24">
      <w:pPr>
        <w:spacing w:after="0" w:line="240" w:lineRule="auto"/>
        <w:jc w:val="both"/>
        <w:rPr>
          <w:sz w:val="28"/>
          <w:szCs w:val="28"/>
        </w:rPr>
      </w:pPr>
    </w:p>
    <w:tbl>
      <w:tblPr>
        <w:tblW w:w="1066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4"/>
        <w:gridCol w:w="1271"/>
        <w:gridCol w:w="6"/>
        <w:gridCol w:w="1978"/>
        <w:gridCol w:w="6"/>
        <w:gridCol w:w="1979"/>
        <w:gridCol w:w="6"/>
        <w:gridCol w:w="64"/>
        <w:gridCol w:w="2340"/>
        <w:gridCol w:w="6"/>
        <w:gridCol w:w="2120"/>
        <w:gridCol w:w="6"/>
      </w:tblGrid>
      <w:tr w:rsidR="009818B5" w:rsidRPr="00D7338C" w14:paraId="44E0F50F" w14:textId="77777777" w:rsidTr="002833F3">
        <w:trPr>
          <w:gridAfter w:val="1"/>
          <w:wAfter w:w="6" w:type="dxa"/>
          <w:trHeight w:val="560"/>
        </w:trPr>
        <w:tc>
          <w:tcPr>
            <w:tcW w:w="2155" w:type="dxa"/>
            <w:gridSpan w:val="2"/>
            <w:tcBorders>
              <w:top w:val="single" w:sz="4" w:space="0" w:color="auto"/>
              <w:left w:val="single" w:sz="6" w:space="0" w:color="auto"/>
              <w:bottom w:val="single" w:sz="6" w:space="0" w:color="auto"/>
              <w:right w:val="single" w:sz="6" w:space="0" w:color="auto"/>
            </w:tcBorders>
            <w:shd w:val="clear" w:color="auto" w:fill="auto"/>
            <w:vAlign w:val="center"/>
            <w:hideMark/>
          </w:tcPr>
          <w:p w14:paraId="058AB786"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LACIT</w:t>
            </w:r>
            <w:r w:rsidRPr="00D7338C">
              <w:rPr>
                <w:rFonts w:eastAsia="Times New Roman" w:cs="Times New Roman"/>
                <w:sz w:val="22"/>
                <w:lang w:eastAsia="en-GB"/>
              </w:rPr>
              <w:t> </w:t>
            </w:r>
          </w:p>
        </w:tc>
        <w:tc>
          <w:tcPr>
            <w:tcW w:w="1984" w:type="dxa"/>
            <w:gridSpan w:val="2"/>
            <w:tcBorders>
              <w:top w:val="single" w:sz="4" w:space="0" w:color="auto"/>
              <w:left w:val="nil"/>
              <w:bottom w:val="single" w:sz="6" w:space="0" w:color="auto"/>
              <w:right w:val="single" w:sz="6" w:space="0" w:color="auto"/>
            </w:tcBorders>
            <w:shd w:val="clear" w:color="auto" w:fill="auto"/>
            <w:vAlign w:val="center"/>
            <w:hideMark/>
          </w:tcPr>
          <w:p w14:paraId="35AF3F09"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Loopholes and Gaps</w:t>
            </w:r>
            <w:r w:rsidRPr="00D7338C">
              <w:rPr>
                <w:rFonts w:eastAsia="Times New Roman" w:cs="Times New Roman"/>
                <w:sz w:val="22"/>
                <w:lang w:eastAsia="en-GB"/>
              </w:rPr>
              <w:t> </w:t>
            </w:r>
          </w:p>
        </w:tc>
        <w:tc>
          <w:tcPr>
            <w:tcW w:w="1985" w:type="dxa"/>
            <w:gridSpan w:val="2"/>
            <w:tcBorders>
              <w:top w:val="single" w:sz="4" w:space="0" w:color="auto"/>
              <w:left w:val="nil"/>
              <w:bottom w:val="single" w:sz="6" w:space="0" w:color="auto"/>
              <w:right w:val="single" w:sz="6" w:space="0" w:color="auto"/>
            </w:tcBorders>
            <w:shd w:val="clear" w:color="auto" w:fill="auto"/>
            <w:vAlign w:val="center"/>
            <w:hideMark/>
          </w:tcPr>
          <w:p w14:paraId="1F120E51"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Transparency</w:t>
            </w:r>
          </w:p>
        </w:tc>
        <w:tc>
          <w:tcPr>
            <w:tcW w:w="2410" w:type="dxa"/>
            <w:gridSpan w:val="3"/>
            <w:tcBorders>
              <w:top w:val="single" w:sz="4" w:space="0" w:color="auto"/>
              <w:left w:val="nil"/>
              <w:bottom w:val="single" w:sz="6" w:space="0" w:color="auto"/>
              <w:right w:val="single" w:sz="6" w:space="0" w:color="auto"/>
            </w:tcBorders>
            <w:shd w:val="clear" w:color="auto" w:fill="auto"/>
            <w:vAlign w:val="center"/>
            <w:hideMark/>
          </w:tcPr>
          <w:p w14:paraId="12BC0F4C"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Anti-Avoidance</w:t>
            </w:r>
            <w:r w:rsidRPr="00D7338C">
              <w:rPr>
                <w:rFonts w:eastAsia="Times New Roman" w:cs="Times New Roman"/>
                <w:sz w:val="22"/>
                <w:lang w:eastAsia="en-GB"/>
              </w:rPr>
              <w:t> </w:t>
            </w:r>
          </w:p>
        </w:tc>
        <w:tc>
          <w:tcPr>
            <w:tcW w:w="2126" w:type="dxa"/>
            <w:gridSpan w:val="2"/>
            <w:tcBorders>
              <w:top w:val="single" w:sz="4" w:space="0" w:color="auto"/>
              <w:left w:val="nil"/>
              <w:bottom w:val="single" w:sz="6" w:space="0" w:color="auto"/>
              <w:right w:val="single" w:sz="6" w:space="0" w:color="auto"/>
            </w:tcBorders>
            <w:shd w:val="clear" w:color="auto" w:fill="auto"/>
            <w:vAlign w:val="center"/>
            <w:hideMark/>
          </w:tcPr>
          <w:p w14:paraId="53A3903A"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Double Tax Treaty Aggressiveness</w:t>
            </w:r>
            <w:r w:rsidRPr="00D7338C">
              <w:rPr>
                <w:rFonts w:eastAsia="Times New Roman" w:cs="Times New Roman"/>
                <w:sz w:val="22"/>
                <w:lang w:eastAsia="en-GB"/>
              </w:rPr>
              <w:t> </w:t>
            </w:r>
          </w:p>
        </w:tc>
      </w:tr>
      <w:tr w:rsidR="009818B5" w:rsidRPr="00D7338C" w14:paraId="3C9C5941" w14:textId="77777777" w:rsidTr="002833F3">
        <w:trPr>
          <w:gridAfter w:val="1"/>
          <w:wAfter w:w="6" w:type="dxa"/>
          <w:trHeight w:val="1121"/>
        </w:trPr>
        <w:tc>
          <w:tcPr>
            <w:tcW w:w="2155" w:type="dxa"/>
            <w:gridSpan w:val="2"/>
            <w:vMerge w:val="restart"/>
            <w:tcBorders>
              <w:top w:val="single" w:sz="6" w:space="0" w:color="auto"/>
              <w:left w:val="single" w:sz="6" w:space="0" w:color="auto"/>
              <w:right w:val="single" w:sz="6" w:space="0" w:color="auto"/>
            </w:tcBorders>
            <w:shd w:val="clear" w:color="auto" w:fill="auto"/>
            <w:vAlign w:val="center"/>
            <w:hideMark/>
          </w:tcPr>
          <w:p w14:paraId="05262130"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w:t>
            </w:r>
            <w:r w:rsidRPr="00D7338C">
              <w:rPr>
                <w:rFonts w:eastAsia="Times New Roman" w:cs="Times New Roman"/>
                <w:sz w:val="22"/>
                <w:lang w:eastAsia="en-GB"/>
              </w:rPr>
              <w:t> </w:t>
            </w:r>
            <w:r w:rsidRPr="00D7338C">
              <w:rPr>
                <w:rFonts w:eastAsia="Times New Roman" w:cs="Times New Roman"/>
                <w:sz w:val="22"/>
                <w:lang w:val="en-US" w:eastAsia="en-GB"/>
              </w:rPr>
              <w:t>Lowest Available Corporate Income Tax</w:t>
            </w:r>
            <w:r w:rsidRPr="00D7338C">
              <w:rPr>
                <w:rFonts w:eastAsia="Times New Roman" w:cs="Times New Roman"/>
                <w:sz w:val="22"/>
                <w:lang w:eastAsia="en-GB"/>
              </w:rPr>
              <w:t> (LACIT)</w:t>
            </w:r>
          </w:p>
          <w:p w14:paraId="22D3CEA9"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eastAsia="en-GB"/>
              </w:rPr>
              <w:t>IDs 505, 506, 507,541, 542, 543, 544 &amp; 545</w:t>
            </w:r>
          </w:p>
        </w:tc>
        <w:tc>
          <w:tcPr>
            <w:tcW w:w="1984" w:type="dxa"/>
            <w:gridSpan w:val="2"/>
            <w:tcBorders>
              <w:top w:val="single" w:sz="6" w:space="0" w:color="auto"/>
              <w:left w:val="nil"/>
              <w:bottom w:val="single" w:sz="6" w:space="0" w:color="auto"/>
              <w:right w:val="single" w:sz="6" w:space="0" w:color="auto"/>
            </w:tcBorders>
            <w:shd w:val="clear" w:color="auto" w:fill="auto"/>
            <w:vAlign w:val="center"/>
            <w:hideMark/>
          </w:tcPr>
          <w:p w14:paraId="32ABE0EB"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 xml:space="preserve">2 </w:t>
            </w:r>
            <w:r w:rsidRPr="00D7338C">
              <w:rPr>
                <w:rFonts w:eastAsia="Times New Roman" w:cs="Times New Roman"/>
                <w:sz w:val="22"/>
                <w:lang w:eastAsia="en-GB"/>
              </w:rPr>
              <w:t>Foreign Investment Income Treatment</w:t>
            </w:r>
          </w:p>
          <w:p w14:paraId="06E061B4"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552, 553, 554 &amp; 555</w:t>
            </w:r>
          </w:p>
        </w:tc>
        <w:tc>
          <w:tcPr>
            <w:tcW w:w="1985" w:type="dxa"/>
            <w:gridSpan w:val="2"/>
            <w:tcBorders>
              <w:top w:val="single" w:sz="6" w:space="0" w:color="auto"/>
              <w:left w:val="nil"/>
              <w:bottom w:val="single" w:sz="6" w:space="0" w:color="auto"/>
              <w:right w:val="single" w:sz="6" w:space="0" w:color="auto"/>
            </w:tcBorders>
            <w:shd w:val="clear" w:color="auto" w:fill="auto"/>
            <w:vAlign w:val="center"/>
            <w:hideMark/>
          </w:tcPr>
          <w:p w14:paraId="6910F10F"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9</w:t>
            </w:r>
            <w:r w:rsidRPr="00D7338C">
              <w:rPr>
                <w:rFonts w:eastAsia="Times New Roman" w:cs="Times New Roman"/>
                <w:sz w:val="22"/>
                <w:lang w:eastAsia="en-GB"/>
              </w:rPr>
              <w:t> Public Company Accounts</w:t>
            </w:r>
          </w:p>
          <w:p w14:paraId="49FCAEE8"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188, 189 &amp; 201</w:t>
            </w:r>
          </w:p>
        </w:tc>
        <w:tc>
          <w:tcPr>
            <w:tcW w:w="2410" w:type="dxa"/>
            <w:gridSpan w:val="3"/>
            <w:tcBorders>
              <w:top w:val="single" w:sz="6" w:space="0" w:color="auto"/>
              <w:left w:val="nil"/>
              <w:bottom w:val="single" w:sz="6" w:space="0" w:color="auto"/>
              <w:right w:val="single" w:sz="6" w:space="0" w:color="auto"/>
            </w:tcBorders>
            <w:shd w:val="clear" w:color="auto" w:fill="auto"/>
            <w:vAlign w:val="center"/>
            <w:hideMark/>
          </w:tcPr>
          <w:p w14:paraId="7DCEC7AE"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15</w:t>
            </w:r>
            <w:r w:rsidRPr="00D7338C">
              <w:rPr>
                <w:rFonts w:eastAsia="Times New Roman" w:cs="Times New Roman"/>
                <w:sz w:val="22"/>
                <w:lang w:eastAsia="en-GB"/>
              </w:rPr>
              <w:t> Outbound intra-group payments - Deduction-Limitation Interests</w:t>
            </w:r>
          </w:p>
          <w:p w14:paraId="00CF5068"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517, 518 &amp; 519</w:t>
            </w:r>
          </w:p>
        </w:tc>
        <w:tc>
          <w:tcPr>
            <w:tcW w:w="2126" w:type="dxa"/>
            <w:gridSpan w:val="2"/>
            <w:tcBorders>
              <w:top w:val="single" w:sz="6" w:space="0" w:color="auto"/>
              <w:left w:val="single" w:sz="6" w:space="0" w:color="auto"/>
              <w:bottom w:val="single" w:sz="4" w:space="0" w:color="auto"/>
              <w:right w:val="single" w:sz="6" w:space="0" w:color="auto"/>
            </w:tcBorders>
            <w:shd w:val="clear" w:color="auto" w:fill="auto"/>
            <w:vAlign w:val="center"/>
            <w:hideMark/>
          </w:tcPr>
          <w:p w14:paraId="2C4C525D"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eastAsia="en-GB"/>
              </w:rPr>
              <w:t>20</w:t>
            </w:r>
            <w:r w:rsidRPr="00D7338C">
              <w:rPr>
                <w:rFonts w:eastAsia="Times New Roman" w:cs="Times New Roman"/>
                <w:sz w:val="22"/>
                <w:lang w:eastAsia="en-GB"/>
              </w:rPr>
              <w:t> Double Tax Treaty Aggressiveness</w:t>
            </w:r>
          </w:p>
          <w:p w14:paraId="0700968D"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 571</w:t>
            </w:r>
          </w:p>
        </w:tc>
      </w:tr>
      <w:tr w:rsidR="009818B5" w:rsidRPr="00D7338C" w14:paraId="22968B38" w14:textId="77777777" w:rsidTr="002833F3">
        <w:trPr>
          <w:gridAfter w:val="1"/>
          <w:wAfter w:w="6" w:type="dxa"/>
          <w:trHeight w:val="480"/>
        </w:trPr>
        <w:tc>
          <w:tcPr>
            <w:tcW w:w="2155" w:type="dxa"/>
            <w:gridSpan w:val="2"/>
            <w:vMerge/>
            <w:tcBorders>
              <w:left w:val="single" w:sz="6" w:space="0" w:color="auto"/>
              <w:right w:val="single" w:sz="6" w:space="0" w:color="auto"/>
            </w:tcBorders>
            <w:shd w:val="clear" w:color="auto" w:fill="auto"/>
            <w:vAlign w:val="center"/>
            <w:hideMark/>
          </w:tcPr>
          <w:p w14:paraId="5518F362" w14:textId="77777777" w:rsidR="009818B5" w:rsidRPr="00D7338C" w:rsidRDefault="009818B5" w:rsidP="00B90A24">
            <w:pPr>
              <w:spacing w:after="0" w:line="240" w:lineRule="auto"/>
              <w:rPr>
                <w:rFonts w:eastAsia="Times New Roman" w:cs="Times New Roman"/>
                <w:sz w:val="22"/>
                <w:lang w:eastAsia="en-GB"/>
              </w:rPr>
            </w:pPr>
          </w:p>
        </w:tc>
        <w:tc>
          <w:tcPr>
            <w:tcW w:w="1984" w:type="dxa"/>
            <w:gridSpan w:val="2"/>
            <w:vMerge w:val="restart"/>
            <w:tcBorders>
              <w:top w:val="single" w:sz="6" w:space="0" w:color="auto"/>
              <w:left w:val="nil"/>
              <w:right w:val="single" w:sz="6" w:space="0" w:color="auto"/>
            </w:tcBorders>
            <w:shd w:val="clear" w:color="auto" w:fill="auto"/>
            <w:vAlign w:val="center"/>
            <w:hideMark/>
          </w:tcPr>
          <w:p w14:paraId="393DD3D0"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3</w:t>
            </w:r>
            <w:r w:rsidRPr="00D7338C">
              <w:rPr>
                <w:rFonts w:eastAsia="Times New Roman" w:cs="Times New Roman"/>
                <w:sz w:val="22"/>
                <w:lang w:eastAsia="en-GB"/>
              </w:rPr>
              <w:t> Loss Utilisation</w:t>
            </w:r>
          </w:p>
          <w:p w14:paraId="13F3AAE8"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509 &amp; 510</w:t>
            </w:r>
          </w:p>
        </w:tc>
        <w:tc>
          <w:tcPr>
            <w:tcW w:w="1985" w:type="dxa"/>
            <w:gridSpan w:val="2"/>
            <w:vMerge w:val="restart"/>
            <w:tcBorders>
              <w:top w:val="single" w:sz="6" w:space="0" w:color="auto"/>
              <w:left w:val="nil"/>
              <w:right w:val="single" w:sz="6" w:space="0" w:color="auto"/>
            </w:tcBorders>
            <w:shd w:val="clear" w:color="auto" w:fill="auto"/>
            <w:vAlign w:val="center"/>
            <w:hideMark/>
          </w:tcPr>
          <w:p w14:paraId="05F03FAE"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10</w:t>
            </w:r>
            <w:r w:rsidRPr="00D7338C">
              <w:rPr>
                <w:rFonts w:eastAsia="Times New Roman" w:cs="Times New Roman"/>
                <w:sz w:val="22"/>
                <w:lang w:eastAsia="en-GB"/>
              </w:rPr>
              <w:t> Public country-by-country reporting</w:t>
            </w:r>
          </w:p>
          <w:p w14:paraId="6CC7AEEE"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 318</w:t>
            </w:r>
          </w:p>
        </w:tc>
        <w:tc>
          <w:tcPr>
            <w:tcW w:w="2410" w:type="dxa"/>
            <w:gridSpan w:val="3"/>
            <w:vMerge w:val="restart"/>
            <w:tcBorders>
              <w:top w:val="single" w:sz="6" w:space="0" w:color="auto"/>
              <w:left w:val="nil"/>
              <w:right w:val="single" w:sz="4" w:space="0" w:color="auto"/>
            </w:tcBorders>
            <w:shd w:val="clear" w:color="auto" w:fill="auto"/>
            <w:vAlign w:val="center"/>
            <w:hideMark/>
          </w:tcPr>
          <w:p w14:paraId="438ECD8E"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16</w:t>
            </w:r>
            <w:r w:rsidRPr="00D7338C">
              <w:rPr>
                <w:rFonts w:eastAsia="Times New Roman" w:cs="Times New Roman"/>
                <w:sz w:val="22"/>
                <w:lang w:eastAsia="en-GB"/>
              </w:rPr>
              <w:t> Outbound intra-group payments – Deduction-Limitation – Royalties</w:t>
            </w:r>
          </w:p>
          <w:p w14:paraId="5870AC68"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 520</w:t>
            </w:r>
          </w:p>
        </w:tc>
        <w:tc>
          <w:tcPr>
            <w:tcW w:w="2126" w:type="dxa"/>
            <w:gridSpan w:val="2"/>
            <w:tcBorders>
              <w:top w:val="single" w:sz="4" w:space="0" w:color="auto"/>
              <w:left w:val="single" w:sz="4" w:space="0" w:color="auto"/>
              <w:bottom w:val="nil"/>
              <w:right w:val="nil"/>
            </w:tcBorders>
            <w:shd w:val="clear" w:color="auto" w:fill="auto"/>
            <w:vAlign w:val="center"/>
            <w:hideMark/>
          </w:tcPr>
          <w:p w14:paraId="7592FA3A" w14:textId="77777777" w:rsidR="009818B5" w:rsidRPr="00D7338C" w:rsidRDefault="009818B5" w:rsidP="00B90A24">
            <w:pPr>
              <w:spacing w:after="0" w:line="240" w:lineRule="auto"/>
              <w:rPr>
                <w:rFonts w:eastAsia="Times New Roman" w:cs="Times New Roman"/>
                <w:sz w:val="22"/>
                <w:lang w:eastAsia="en-GB"/>
              </w:rPr>
            </w:pPr>
          </w:p>
        </w:tc>
      </w:tr>
      <w:tr w:rsidR="009818B5" w:rsidRPr="00D7338C" w14:paraId="061C4FE1" w14:textId="77777777" w:rsidTr="002833F3">
        <w:trPr>
          <w:gridAfter w:val="1"/>
          <w:wAfter w:w="6" w:type="dxa"/>
          <w:trHeight w:val="507"/>
        </w:trPr>
        <w:tc>
          <w:tcPr>
            <w:tcW w:w="2155" w:type="dxa"/>
            <w:gridSpan w:val="2"/>
            <w:vMerge/>
            <w:tcBorders>
              <w:left w:val="single" w:sz="6" w:space="0" w:color="auto"/>
              <w:bottom w:val="single" w:sz="4" w:space="0" w:color="auto"/>
              <w:right w:val="single" w:sz="6" w:space="0" w:color="auto"/>
            </w:tcBorders>
            <w:shd w:val="clear" w:color="auto" w:fill="auto"/>
            <w:vAlign w:val="center"/>
            <w:hideMark/>
          </w:tcPr>
          <w:p w14:paraId="04679879" w14:textId="77777777" w:rsidR="009818B5" w:rsidRPr="00D7338C" w:rsidRDefault="009818B5" w:rsidP="00B90A24">
            <w:pPr>
              <w:spacing w:after="0" w:line="240" w:lineRule="auto"/>
              <w:rPr>
                <w:rFonts w:eastAsia="Times New Roman" w:cs="Times New Roman"/>
                <w:sz w:val="22"/>
                <w:lang w:eastAsia="en-GB"/>
              </w:rPr>
            </w:pPr>
          </w:p>
        </w:tc>
        <w:tc>
          <w:tcPr>
            <w:tcW w:w="1984" w:type="dxa"/>
            <w:gridSpan w:val="2"/>
            <w:vMerge/>
            <w:tcBorders>
              <w:left w:val="nil"/>
              <w:bottom w:val="single" w:sz="6" w:space="0" w:color="auto"/>
              <w:right w:val="single" w:sz="6" w:space="0" w:color="auto"/>
            </w:tcBorders>
            <w:shd w:val="clear" w:color="auto" w:fill="auto"/>
            <w:vAlign w:val="center"/>
            <w:hideMark/>
          </w:tcPr>
          <w:p w14:paraId="1551051E" w14:textId="77777777" w:rsidR="009818B5" w:rsidRPr="00D7338C" w:rsidRDefault="009818B5" w:rsidP="00B90A24">
            <w:pPr>
              <w:spacing w:after="0" w:line="240" w:lineRule="auto"/>
              <w:jc w:val="center"/>
              <w:rPr>
                <w:rFonts w:eastAsia="Times New Roman" w:cs="Times New Roman"/>
                <w:sz w:val="22"/>
                <w:lang w:eastAsia="en-GB"/>
              </w:rPr>
            </w:pPr>
          </w:p>
        </w:tc>
        <w:tc>
          <w:tcPr>
            <w:tcW w:w="1985" w:type="dxa"/>
            <w:gridSpan w:val="2"/>
            <w:vMerge/>
            <w:tcBorders>
              <w:left w:val="nil"/>
              <w:bottom w:val="single" w:sz="6" w:space="0" w:color="auto"/>
              <w:right w:val="single" w:sz="6" w:space="0" w:color="auto"/>
            </w:tcBorders>
            <w:shd w:val="clear" w:color="auto" w:fill="auto"/>
            <w:vAlign w:val="center"/>
            <w:hideMark/>
          </w:tcPr>
          <w:p w14:paraId="603E1B59" w14:textId="77777777" w:rsidR="009818B5" w:rsidRPr="00D7338C" w:rsidRDefault="009818B5" w:rsidP="00B90A24">
            <w:pPr>
              <w:spacing w:after="0" w:line="240" w:lineRule="auto"/>
              <w:jc w:val="center"/>
              <w:rPr>
                <w:rFonts w:eastAsia="Times New Roman" w:cs="Times New Roman"/>
                <w:sz w:val="22"/>
                <w:lang w:eastAsia="en-GB"/>
              </w:rPr>
            </w:pPr>
          </w:p>
        </w:tc>
        <w:tc>
          <w:tcPr>
            <w:tcW w:w="2410" w:type="dxa"/>
            <w:gridSpan w:val="3"/>
            <w:vMerge/>
            <w:tcBorders>
              <w:left w:val="nil"/>
              <w:bottom w:val="single" w:sz="6" w:space="0" w:color="auto"/>
              <w:right w:val="single" w:sz="4" w:space="0" w:color="auto"/>
            </w:tcBorders>
            <w:shd w:val="clear" w:color="auto" w:fill="auto"/>
            <w:vAlign w:val="center"/>
            <w:hideMark/>
          </w:tcPr>
          <w:p w14:paraId="49AC222A"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2126" w:type="dxa"/>
            <w:gridSpan w:val="2"/>
            <w:tcBorders>
              <w:top w:val="nil"/>
              <w:left w:val="single" w:sz="4" w:space="0" w:color="auto"/>
              <w:bottom w:val="nil"/>
              <w:right w:val="nil"/>
            </w:tcBorders>
            <w:shd w:val="clear" w:color="auto" w:fill="auto"/>
            <w:vAlign w:val="center"/>
            <w:hideMark/>
          </w:tcPr>
          <w:p w14:paraId="6BA77042"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118A8D5D"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0B5DE628"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2C5336F1"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0F6F8E0D"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45A93BAD"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0863231C"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5E4692AE"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54760F2D"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503115C0"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tc>
      </w:tr>
      <w:tr w:rsidR="009818B5" w:rsidRPr="00D7338C" w14:paraId="1CEF078B" w14:textId="77777777" w:rsidTr="002833F3">
        <w:trPr>
          <w:trHeight w:val="1070"/>
        </w:trPr>
        <w:tc>
          <w:tcPr>
            <w:tcW w:w="884" w:type="dxa"/>
            <w:tcBorders>
              <w:top w:val="single" w:sz="4" w:space="0" w:color="auto"/>
              <w:left w:val="nil"/>
              <w:bottom w:val="nil"/>
              <w:right w:val="nil"/>
            </w:tcBorders>
            <w:shd w:val="clear" w:color="auto" w:fill="auto"/>
            <w:vAlign w:val="center"/>
            <w:hideMark/>
          </w:tcPr>
          <w:p w14:paraId="07311826"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tc>
        <w:tc>
          <w:tcPr>
            <w:tcW w:w="1277" w:type="dxa"/>
            <w:gridSpan w:val="2"/>
            <w:vMerge w:val="restart"/>
            <w:tcBorders>
              <w:top w:val="single" w:sz="4" w:space="0" w:color="auto"/>
              <w:left w:val="nil"/>
              <w:bottom w:val="nil"/>
              <w:right w:val="single" w:sz="4" w:space="0" w:color="auto"/>
            </w:tcBorders>
            <w:shd w:val="clear" w:color="auto" w:fill="auto"/>
            <w:vAlign w:val="center"/>
            <w:hideMark/>
          </w:tcPr>
          <w:p w14:paraId="01782022"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78755FE9"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49ED6A40"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34120154"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31C9B275"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21CFFC29"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p w14:paraId="43097993"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MS Mincho" w:cs="Times New Roman"/>
                <w:sz w:val="22"/>
                <w:lang w:eastAsia="en-GB"/>
              </w:rPr>
              <w:t> </w:t>
            </w:r>
          </w:p>
          <w:p w14:paraId="5D89DD95"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MS Mincho" w:cs="Times New Roman"/>
                <w:sz w:val="22"/>
                <w:lang w:eastAsia="en-GB"/>
              </w:rPr>
              <w:t> </w:t>
            </w:r>
          </w:p>
          <w:p w14:paraId="0D068D86"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MS Mincho" w:cs="Times New Roman"/>
                <w:sz w:val="22"/>
                <w:lang w:eastAsia="en-GB"/>
              </w:rPr>
              <w:t> </w:t>
            </w:r>
          </w:p>
        </w:tc>
        <w:tc>
          <w:tcPr>
            <w:tcW w:w="1984" w:type="dxa"/>
            <w:gridSpan w:val="2"/>
            <w:tcBorders>
              <w:top w:val="single" w:sz="6" w:space="0" w:color="auto"/>
              <w:left w:val="single" w:sz="4" w:space="0" w:color="auto"/>
              <w:bottom w:val="single" w:sz="6" w:space="0" w:color="auto"/>
              <w:right w:val="single" w:sz="6" w:space="0" w:color="auto"/>
            </w:tcBorders>
            <w:shd w:val="clear" w:color="auto" w:fill="auto"/>
            <w:vAlign w:val="center"/>
            <w:hideMark/>
          </w:tcPr>
          <w:p w14:paraId="4F7012D6"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4</w:t>
            </w:r>
            <w:r w:rsidRPr="00D7338C">
              <w:rPr>
                <w:rFonts w:eastAsia="Times New Roman" w:cs="Times New Roman"/>
                <w:sz w:val="22"/>
                <w:lang w:eastAsia="en-GB"/>
              </w:rPr>
              <w:t> Capital gains tax rate</w:t>
            </w:r>
          </w:p>
          <w:p w14:paraId="198F8EAF"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513 &amp; 514</w:t>
            </w:r>
          </w:p>
        </w:tc>
        <w:tc>
          <w:tcPr>
            <w:tcW w:w="1985" w:type="dxa"/>
            <w:gridSpan w:val="2"/>
            <w:tcBorders>
              <w:top w:val="single" w:sz="6" w:space="0" w:color="auto"/>
              <w:left w:val="nil"/>
              <w:bottom w:val="single" w:sz="6" w:space="0" w:color="auto"/>
              <w:right w:val="single" w:sz="6" w:space="0" w:color="auto"/>
            </w:tcBorders>
            <w:shd w:val="clear" w:color="auto" w:fill="auto"/>
            <w:vAlign w:val="center"/>
            <w:hideMark/>
          </w:tcPr>
          <w:p w14:paraId="33619B7A"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11</w:t>
            </w:r>
            <w:r w:rsidRPr="00D7338C">
              <w:rPr>
                <w:rFonts w:eastAsia="Times New Roman" w:cs="Times New Roman"/>
                <w:sz w:val="22"/>
                <w:lang w:eastAsia="en-GB"/>
              </w:rPr>
              <w:t> Robust local filing of country-by-country reporting</w:t>
            </w:r>
          </w:p>
          <w:p w14:paraId="4296713C"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 419</w:t>
            </w:r>
          </w:p>
        </w:tc>
        <w:tc>
          <w:tcPr>
            <w:tcW w:w="2410" w:type="dxa"/>
            <w:gridSpan w:val="3"/>
            <w:tcBorders>
              <w:top w:val="single" w:sz="6" w:space="0" w:color="auto"/>
              <w:left w:val="nil"/>
              <w:bottom w:val="single" w:sz="4" w:space="0" w:color="auto"/>
              <w:right w:val="single" w:sz="4" w:space="0" w:color="auto"/>
            </w:tcBorders>
            <w:shd w:val="clear" w:color="auto" w:fill="auto"/>
            <w:vAlign w:val="center"/>
            <w:hideMark/>
          </w:tcPr>
          <w:p w14:paraId="2082E370"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17</w:t>
            </w:r>
            <w:r w:rsidRPr="00D7338C">
              <w:rPr>
                <w:rFonts w:eastAsia="Times New Roman" w:cs="Times New Roman"/>
                <w:sz w:val="22"/>
                <w:lang w:eastAsia="en-GB"/>
              </w:rPr>
              <w:t> Outbound intra-group payments – Deduction-Limitation – Services</w:t>
            </w:r>
          </w:p>
          <w:p w14:paraId="585C14F4"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 521</w:t>
            </w:r>
          </w:p>
        </w:tc>
        <w:tc>
          <w:tcPr>
            <w:tcW w:w="2126" w:type="dxa"/>
            <w:gridSpan w:val="2"/>
            <w:vMerge w:val="restart"/>
            <w:tcBorders>
              <w:top w:val="nil"/>
              <w:left w:val="single" w:sz="4" w:space="0" w:color="auto"/>
              <w:bottom w:val="nil"/>
              <w:right w:val="nil"/>
            </w:tcBorders>
            <w:shd w:val="clear" w:color="auto" w:fill="auto"/>
            <w:vAlign w:val="center"/>
            <w:hideMark/>
          </w:tcPr>
          <w:p w14:paraId="5F9CC99A" w14:textId="77777777" w:rsidR="009818B5" w:rsidRPr="00D7338C" w:rsidRDefault="009818B5" w:rsidP="00B90A24">
            <w:pPr>
              <w:spacing w:after="0" w:line="240" w:lineRule="auto"/>
              <w:textAlignment w:val="baseline"/>
              <w:rPr>
                <w:rFonts w:eastAsia="Times New Roman" w:cs="Times New Roman"/>
                <w:sz w:val="22"/>
                <w:lang w:eastAsia="en-GB"/>
              </w:rPr>
            </w:pPr>
          </w:p>
        </w:tc>
      </w:tr>
      <w:tr w:rsidR="009818B5" w:rsidRPr="00D7338C" w14:paraId="5C5C8249" w14:textId="77777777" w:rsidTr="002833F3">
        <w:trPr>
          <w:trHeight w:val="1256"/>
        </w:trPr>
        <w:tc>
          <w:tcPr>
            <w:tcW w:w="884" w:type="dxa"/>
            <w:tcBorders>
              <w:top w:val="nil"/>
              <w:left w:val="nil"/>
              <w:bottom w:val="nil"/>
              <w:right w:val="nil"/>
            </w:tcBorders>
            <w:shd w:val="clear" w:color="auto" w:fill="auto"/>
            <w:vAlign w:val="center"/>
            <w:hideMark/>
          </w:tcPr>
          <w:p w14:paraId="190116DF"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tc>
        <w:tc>
          <w:tcPr>
            <w:tcW w:w="1277" w:type="dxa"/>
            <w:gridSpan w:val="2"/>
            <w:vMerge/>
            <w:tcBorders>
              <w:left w:val="nil"/>
              <w:bottom w:val="nil"/>
              <w:right w:val="single" w:sz="4" w:space="0" w:color="auto"/>
            </w:tcBorders>
            <w:shd w:val="clear" w:color="auto" w:fill="auto"/>
            <w:vAlign w:val="center"/>
            <w:hideMark/>
          </w:tcPr>
          <w:p w14:paraId="59D72567" w14:textId="77777777" w:rsidR="009818B5" w:rsidRPr="00D7338C" w:rsidRDefault="009818B5" w:rsidP="00B90A24">
            <w:pPr>
              <w:spacing w:after="0" w:line="240" w:lineRule="auto"/>
              <w:textAlignment w:val="baseline"/>
              <w:rPr>
                <w:rFonts w:eastAsia="Times New Roman" w:cs="Times New Roman"/>
                <w:sz w:val="22"/>
                <w:lang w:eastAsia="en-GB"/>
              </w:rPr>
            </w:pPr>
          </w:p>
        </w:tc>
        <w:tc>
          <w:tcPr>
            <w:tcW w:w="1984" w:type="dxa"/>
            <w:gridSpan w:val="2"/>
            <w:tcBorders>
              <w:top w:val="nil"/>
              <w:left w:val="single" w:sz="4" w:space="0" w:color="auto"/>
              <w:bottom w:val="single" w:sz="6" w:space="0" w:color="auto"/>
              <w:right w:val="single" w:sz="6" w:space="0" w:color="auto"/>
            </w:tcBorders>
            <w:shd w:val="clear" w:color="auto" w:fill="auto"/>
            <w:vAlign w:val="center"/>
            <w:hideMark/>
          </w:tcPr>
          <w:p w14:paraId="2DC2C9B2"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5</w:t>
            </w:r>
            <w:r w:rsidRPr="00D7338C">
              <w:rPr>
                <w:rFonts w:eastAsia="Times New Roman" w:cs="Times New Roman"/>
                <w:sz w:val="22"/>
                <w:lang w:eastAsia="en-GB"/>
              </w:rPr>
              <w:t> Broad Exemptions</w:t>
            </w:r>
          </w:p>
          <w:p w14:paraId="24C06D02"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524, 525, 526, 527, 528, 529, 530, 531, 532, 533, 534, 535, 536, 537 &amp; 538</w:t>
            </w:r>
          </w:p>
        </w:tc>
        <w:tc>
          <w:tcPr>
            <w:tcW w:w="1985" w:type="dxa"/>
            <w:gridSpan w:val="2"/>
            <w:tcBorders>
              <w:top w:val="nil"/>
              <w:left w:val="nil"/>
              <w:bottom w:val="single" w:sz="6" w:space="0" w:color="auto"/>
              <w:right w:val="single" w:sz="6" w:space="0" w:color="auto"/>
            </w:tcBorders>
            <w:shd w:val="clear" w:color="auto" w:fill="auto"/>
            <w:vAlign w:val="center"/>
            <w:hideMark/>
          </w:tcPr>
          <w:p w14:paraId="0522BA2D"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12</w:t>
            </w:r>
            <w:r w:rsidRPr="00D7338C">
              <w:rPr>
                <w:rFonts w:eastAsia="Times New Roman" w:cs="Times New Roman"/>
                <w:sz w:val="22"/>
                <w:lang w:eastAsia="en-GB"/>
              </w:rPr>
              <w:t> Unilateral cross-border tax rulings</w:t>
            </w:r>
          </w:p>
          <w:p w14:paraId="204CF8A9"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363, 421, 561, 562, 563 &amp; 564</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14:paraId="43EC3A98"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18</w:t>
            </w:r>
            <w:r w:rsidRPr="00D7338C">
              <w:rPr>
                <w:rFonts w:eastAsia="Times New Roman" w:cs="Times New Roman"/>
                <w:sz w:val="22"/>
                <w:lang w:eastAsia="en-GB"/>
              </w:rPr>
              <w:t> Outbound payments – Withholding Taxes – Dividends</w:t>
            </w:r>
          </w:p>
          <w:p w14:paraId="5890B2D5"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 508</w:t>
            </w:r>
          </w:p>
          <w:p w14:paraId="42297882"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2126" w:type="dxa"/>
            <w:gridSpan w:val="2"/>
            <w:vMerge/>
            <w:tcBorders>
              <w:top w:val="nil"/>
              <w:left w:val="single" w:sz="4" w:space="0" w:color="auto"/>
              <w:bottom w:val="nil"/>
              <w:right w:val="nil"/>
            </w:tcBorders>
            <w:shd w:val="clear" w:color="auto" w:fill="auto"/>
            <w:vAlign w:val="center"/>
            <w:hideMark/>
          </w:tcPr>
          <w:p w14:paraId="4C00F8FB" w14:textId="77777777" w:rsidR="009818B5" w:rsidRPr="00D7338C" w:rsidRDefault="009818B5" w:rsidP="00B90A24">
            <w:pPr>
              <w:spacing w:after="0" w:line="240" w:lineRule="auto"/>
              <w:textAlignment w:val="baseline"/>
              <w:rPr>
                <w:rFonts w:eastAsia="Times New Roman" w:cs="Times New Roman"/>
                <w:sz w:val="22"/>
                <w:lang w:eastAsia="en-GB"/>
              </w:rPr>
            </w:pPr>
          </w:p>
        </w:tc>
      </w:tr>
      <w:tr w:rsidR="009818B5" w:rsidRPr="00D7338C" w14:paraId="4509392B" w14:textId="77777777" w:rsidTr="002833F3">
        <w:trPr>
          <w:trHeight w:val="1020"/>
        </w:trPr>
        <w:tc>
          <w:tcPr>
            <w:tcW w:w="884" w:type="dxa"/>
            <w:tcBorders>
              <w:top w:val="nil"/>
              <w:left w:val="nil"/>
              <w:bottom w:val="nil"/>
              <w:right w:val="nil"/>
            </w:tcBorders>
            <w:shd w:val="clear" w:color="auto" w:fill="auto"/>
            <w:vAlign w:val="center"/>
            <w:hideMark/>
          </w:tcPr>
          <w:p w14:paraId="63FF00D6"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tc>
        <w:tc>
          <w:tcPr>
            <w:tcW w:w="1277" w:type="dxa"/>
            <w:gridSpan w:val="2"/>
            <w:vMerge/>
            <w:tcBorders>
              <w:left w:val="nil"/>
              <w:bottom w:val="nil"/>
              <w:right w:val="single" w:sz="4" w:space="0" w:color="auto"/>
            </w:tcBorders>
            <w:shd w:val="clear" w:color="auto" w:fill="auto"/>
            <w:vAlign w:val="center"/>
            <w:hideMark/>
          </w:tcPr>
          <w:p w14:paraId="48CFF52C" w14:textId="77777777" w:rsidR="009818B5" w:rsidRPr="00D7338C" w:rsidRDefault="009818B5" w:rsidP="00B90A24">
            <w:pPr>
              <w:spacing w:after="0" w:line="240" w:lineRule="auto"/>
              <w:textAlignment w:val="baseline"/>
              <w:rPr>
                <w:rFonts w:eastAsia="Times New Roman" w:cs="Times New Roman"/>
                <w:sz w:val="22"/>
                <w:lang w:eastAsia="en-GB"/>
              </w:rPr>
            </w:pPr>
          </w:p>
        </w:tc>
        <w:tc>
          <w:tcPr>
            <w:tcW w:w="1984" w:type="dxa"/>
            <w:gridSpan w:val="2"/>
            <w:tcBorders>
              <w:top w:val="single" w:sz="6" w:space="0" w:color="auto"/>
              <w:left w:val="single" w:sz="4" w:space="0" w:color="auto"/>
              <w:bottom w:val="single" w:sz="6" w:space="0" w:color="auto"/>
              <w:right w:val="single" w:sz="6" w:space="0" w:color="auto"/>
            </w:tcBorders>
            <w:shd w:val="clear" w:color="auto" w:fill="auto"/>
            <w:vAlign w:val="center"/>
            <w:hideMark/>
          </w:tcPr>
          <w:p w14:paraId="6CFD743F"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6</w:t>
            </w:r>
            <w:r w:rsidRPr="00D7338C">
              <w:rPr>
                <w:rFonts w:eastAsia="Times New Roman" w:cs="Times New Roman"/>
                <w:sz w:val="22"/>
                <w:lang w:eastAsia="en-GB"/>
              </w:rPr>
              <w:t> Tax Holidays and Economic Zones</w:t>
            </w:r>
          </w:p>
          <w:p w14:paraId="526177DE"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501, 501, 503, 504, 539 &amp; 540</w:t>
            </w:r>
          </w:p>
        </w:tc>
        <w:tc>
          <w:tcPr>
            <w:tcW w:w="1985" w:type="dxa"/>
            <w:gridSpan w:val="2"/>
            <w:tcBorders>
              <w:top w:val="single" w:sz="6" w:space="0" w:color="auto"/>
              <w:left w:val="nil"/>
              <w:bottom w:val="single" w:sz="6" w:space="0" w:color="auto"/>
              <w:right w:val="single" w:sz="6" w:space="0" w:color="auto"/>
            </w:tcBorders>
            <w:shd w:val="clear" w:color="auto" w:fill="auto"/>
            <w:vAlign w:val="center"/>
            <w:hideMark/>
          </w:tcPr>
          <w:p w14:paraId="0040578B"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13</w:t>
            </w:r>
            <w:r w:rsidRPr="00D7338C">
              <w:rPr>
                <w:rFonts w:eastAsia="Times New Roman" w:cs="Times New Roman"/>
                <w:sz w:val="22"/>
                <w:lang w:eastAsia="en-GB"/>
              </w:rPr>
              <w:t> Reporting of tax avoidance schemes</w:t>
            </w:r>
          </w:p>
          <w:p w14:paraId="3F6B2572"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val="en-US" w:eastAsia="en-GB"/>
              </w:rPr>
              <w:t>IDs 403, 404, 405 &amp; 406</w:t>
            </w:r>
          </w:p>
        </w:tc>
        <w:tc>
          <w:tcPr>
            <w:tcW w:w="2410" w:type="dxa"/>
            <w:gridSpan w:val="3"/>
            <w:tcBorders>
              <w:top w:val="single" w:sz="4" w:space="0" w:color="auto"/>
              <w:left w:val="nil"/>
              <w:bottom w:val="nil"/>
              <w:right w:val="single" w:sz="4" w:space="0" w:color="auto"/>
            </w:tcBorders>
            <w:shd w:val="clear" w:color="auto" w:fill="auto"/>
            <w:vAlign w:val="center"/>
            <w:hideMark/>
          </w:tcPr>
          <w:p w14:paraId="0C8857DE"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19</w:t>
            </w:r>
            <w:r w:rsidRPr="00D7338C">
              <w:rPr>
                <w:rFonts w:eastAsia="Times New Roman" w:cs="Times New Roman"/>
                <w:sz w:val="22"/>
                <w:lang w:eastAsia="en-GB"/>
              </w:rPr>
              <w:t> Controlled Foreign Company Rules</w:t>
            </w:r>
          </w:p>
          <w:p w14:paraId="659F8C27"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eastAsia="en-GB"/>
              </w:rPr>
              <w:t>ID 522</w:t>
            </w:r>
          </w:p>
        </w:tc>
        <w:tc>
          <w:tcPr>
            <w:tcW w:w="2126" w:type="dxa"/>
            <w:gridSpan w:val="2"/>
            <w:vMerge/>
            <w:tcBorders>
              <w:top w:val="nil"/>
              <w:left w:val="single" w:sz="4" w:space="0" w:color="auto"/>
              <w:bottom w:val="nil"/>
              <w:right w:val="nil"/>
            </w:tcBorders>
            <w:shd w:val="clear" w:color="auto" w:fill="auto"/>
            <w:vAlign w:val="center"/>
            <w:hideMark/>
          </w:tcPr>
          <w:p w14:paraId="34D0B053" w14:textId="77777777" w:rsidR="009818B5" w:rsidRPr="00D7338C" w:rsidRDefault="009818B5" w:rsidP="00B90A24">
            <w:pPr>
              <w:spacing w:after="0" w:line="240" w:lineRule="auto"/>
              <w:textAlignment w:val="baseline"/>
              <w:rPr>
                <w:rFonts w:eastAsia="Times New Roman" w:cs="Times New Roman"/>
                <w:sz w:val="22"/>
                <w:lang w:eastAsia="en-GB"/>
              </w:rPr>
            </w:pPr>
          </w:p>
        </w:tc>
      </w:tr>
      <w:tr w:rsidR="009818B5" w:rsidRPr="00D7338C" w14:paraId="47B43251" w14:textId="77777777" w:rsidTr="002833F3">
        <w:trPr>
          <w:trHeight w:val="600"/>
        </w:trPr>
        <w:tc>
          <w:tcPr>
            <w:tcW w:w="884" w:type="dxa"/>
            <w:tcBorders>
              <w:top w:val="nil"/>
              <w:left w:val="nil"/>
              <w:bottom w:val="nil"/>
              <w:right w:val="nil"/>
            </w:tcBorders>
            <w:shd w:val="clear" w:color="auto" w:fill="auto"/>
            <w:vAlign w:val="center"/>
            <w:hideMark/>
          </w:tcPr>
          <w:p w14:paraId="0DE2F85F"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tc>
        <w:tc>
          <w:tcPr>
            <w:tcW w:w="1277" w:type="dxa"/>
            <w:gridSpan w:val="2"/>
            <w:vMerge/>
            <w:tcBorders>
              <w:left w:val="nil"/>
              <w:right w:val="single" w:sz="4" w:space="0" w:color="auto"/>
            </w:tcBorders>
            <w:shd w:val="clear" w:color="auto" w:fill="auto"/>
            <w:vAlign w:val="center"/>
            <w:hideMark/>
          </w:tcPr>
          <w:p w14:paraId="575F0E81" w14:textId="77777777" w:rsidR="009818B5" w:rsidRPr="00D7338C" w:rsidRDefault="009818B5" w:rsidP="00B90A24">
            <w:pPr>
              <w:spacing w:after="0" w:line="240" w:lineRule="auto"/>
              <w:textAlignment w:val="baseline"/>
              <w:rPr>
                <w:rFonts w:eastAsia="Times New Roman" w:cs="Times New Roman"/>
                <w:sz w:val="22"/>
                <w:lang w:eastAsia="en-GB"/>
              </w:rPr>
            </w:pPr>
          </w:p>
        </w:tc>
        <w:tc>
          <w:tcPr>
            <w:tcW w:w="1984" w:type="dxa"/>
            <w:gridSpan w:val="2"/>
            <w:vMerge w:val="restart"/>
            <w:tcBorders>
              <w:top w:val="nil"/>
              <w:left w:val="single" w:sz="4" w:space="0" w:color="auto"/>
              <w:right w:val="single" w:sz="6" w:space="0" w:color="auto"/>
            </w:tcBorders>
            <w:shd w:val="clear" w:color="auto" w:fill="auto"/>
            <w:vAlign w:val="center"/>
            <w:hideMark/>
          </w:tcPr>
          <w:p w14:paraId="74BC5B54"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7</w:t>
            </w:r>
            <w:r w:rsidRPr="00D7338C">
              <w:rPr>
                <w:rFonts w:eastAsia="Times New Roman" w:cs="Times New Roman"/>
                <w:sz w:val="22"/>
                <w:lang w:eastAsia="en-GB"/>
              </w:rPr>
              <w:t> Patent Boxes</w:t>
            </w:r>
          </w:p>
          <w:p w14:paraId="79089801"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eastAsia="en-GB"/>
              </w:rPr>
              <w:t>ID 515</w:t>
            </w:r>
          </w:p>
        </w:tc>
        <w:tc>
          <w:tcPr>
            <w:tcW w:w="1985" w:type="dxa"/>
            <w:gridSpan w:val="2"/>
            <w:vMerge w:val="restart"/>
            <w:tcBorders>
              <w:top w:val="single" w:sz="6" w:space="0" w:color="auto"/>
              <w:left w:val="single" w:sz="6" w:space="0" w:color="auto"/>
              <w:right w:val="single" w:sz="6" w:space="0" w:color="auto"/>
            </w:tcBorders>
            <w:shd w:val="clear" w:color="auto" w:fill="auto"/>
            <w:vAlign w:val="center"/>
            <w:hideMark/>
          </w:tcPr>
          <w:p w14:paraId="59BC4D2E"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14</w:t>
            </w:r>
            <w:r w:rsidRPr="00D7338C">
              <w:rPr>
                <w:rFonts w:eastAsia="Times New Roman" w:cs="Times New Roman"/>
                <w:sz w:val="22"/>
                <w:lang w:eastAsia="en-GB"/>
              </w:rPr>
              <w:t> Tax Court Secrecy</w:t>
            </w:r>
          </w:p>
          <w:p w14:paraId="27E9D06E"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eastAsia="en-GB"/>
              </w:rPr>
              <w:t>IDs 407, 408, 409 &amp; 410</w:t>
            </w:r>
          </w:p>
        </w:tc>
        <w:tc>
          <w:tcPr>
            <w:tcW w:w="64" w:type="dxa"/>
            <w:tcBorders>
              <w:top w:val="single" w:sz="4" w:space="0" w:color="auto"/>
              <w:left w:val="single" w:sz="6" w:space="0" w:color="auto"/>
              <w:bottom w:val="nil"/>
              <w:right w:val="nil"/>
            </w:tcBorders>
            <w:shd w:val="clear" w:color="auto" w:fill="auto"/>
            <w:vAlign w:val="center"/>
            <w:hideMark/>
          </w:tcPr>
          <w:p w14:paraId="4FEDC2F5"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2346" w:type="dxa"/>
            <w:gridSpan w:val="2"/>
            <w:vMerge w:val="restart"/>
            <w:tcBorders>
              <w:top w:val="single" w:sz="4" w:space="0" w:color="auto"/>
              <w:left w:val="nil"/>
              <w:right w:val="nil"/>
            </w:tcBorders>
            <w:shd w:val="clear" w:color="auto" w:fill="auto"/>
            <w:vAlign w:val="center"/>
            <w:hideMark/>
          </w:tcPr>
          <w:p w14:paraId="6F5D1747"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2126" w:type="dxa"/>
            <w:gridSpan w:val="2"/>
            <w:vMerge/>
            <w:tcBorders>
              <w:top w:val="nil"/>
              <w:left w:val="nil"/>
              <w:bottom w:val="nil"/>
              <w:right w:val="nil"/>
            </w:tcBorders>
            <w:shd w:val="clear" w:color="auto" w:fill="auto"/>
            <w:vAlign w:val="center"/>
            <w:hideMark/>
          </w:tcPr>
          <w:p w14:paraId="6152FCAC" w14:textId="77777777" w:rsidR="009818B5" w:rsidRPr="00D7338C" w:rsidRDefault="009818B5" w:rsidP="00B90A24">
            <w:pPr>
              <w:spacing w:after="0" w:line="240" w:lineRule="auto"/>
              <w:textAlignment w:val="baseline"/>
              <w:rPr>
                <w:rFonts w:eastAsia="Times New Roman" w:cs="Times New Roman"/>
                <w:sz w:val="22"/>
                <w:lang w:eastAsia="en-GB"/>
              </w:rPr>
            </w:pPr>
          </w:p>
        </w:tc>
      </w:tr>
      <w:tr w:rsidR="009818B5" w:rsidRPr="00D7338C" w14:paraId="21EFCCA8" w14:textId="77777777" w:rsidTr="002833F3">
        <w:trPr>
          <w:trHeight w:val="236"/>
        </w:trPr>
        <w:tc>
          <w:tcPr>
            <w:tcW w:w="884" w:type="dxa"/>
            <w:tcBorders>
              <w:top w:val="nil"/>
              <w:left w:val="nil"/>
              <w:bottom w:val="nil"/>
              <w:right w:val="nil"/>
            </w:tcBorders>
            <w:shd w:val="clear" w:color="auto" w:fill="auto"/>
            <w:vAlign w:val="center"/>
            <w:hideMark/>
          </w:tcPr>
          <w:p w14:paraId="66FB337A"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tc>
        <w:tc>
          <w:tcPr>
            <w:tcW w:w="1277" w:type="dxa"/>
            <w:gridSpan w:val="2"/>
            <w:vMerge/>
            <w:tcBorders>
              <w:left w:val="nil"/>
              <w:right w:val="single" w:sz="4" w:space="0" w:color="auto"/>
            </w:tcBorders>
            <w:shd w:val="clear" w:color="auto" w:fill="auto"/>
            <w:vAlign w:val="center"/>
            <w:hideMark/>
          </w:tcPr>
          <w:p w14:paraId="4DF2B84B" w14:textId="77777777" w:rsidR="009818B5" w:rsidRPr="00D7338C" w:rsidRDefault="009818B5" w:rsidP="00B90A24">
            <w:pPr>
              <w:spacing w:after="0" w:line="240" w:lineRule="auto"/>
              <w:textAlignment w:val="baseline"/>
              <w:rPr>
                <w:rFonts w:eastAsia="Times New Roman" w:cs="Times New Roman"/>
                <w:sz w:val="22"/>
                <w:lang w:eastAsia="en-GB"/>
              </w:rPr>
            </w:pPr>
          </w:p>
        </w:tc>
        <w:tc>
          <w:tcPr>
            <w:tcW w:w="1984" w:type="dxa"/>
            <w:gridSpan w:val="2"/>
            <w:vMerge/>
            <w:tcBorders>
              <w:left w:val="single" w:sz="4" w:space="0" w:color="auto"/>
              <w:bottom w:val="single" w:sz="6" w:space="0" w:color="auto"/>
              <w:right w:val="single" w:sz="6" w:space="0" w:color="auto"/>
            </w:tcBorders>
            <w:shd w:val="clear" w:color="auto" w:fill="auto"/>
            <w:vAlign w:val="center"/>
            <w:hideMark/>
          </w:tcPr>
          <w:p w14:paraId="73950171"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1985" w:type="dxa"/>
            <w:gridSpan w:val="2"/>
            <w:vMerge/>
            <w:tcBorders>
              <w:left w:val="single" w:sz="6" w:space="0" w:color="auto"/>
              <w:bottom w:val="single" w:sz="4" w:space="0" w:color="auto"/>
              <w:right w:val="single" w:sz="6" w:space="0" w:color="auto"/>
            </w:tcBorders>
            <w:shd w:val="clear" w:color="auto" w:fill="auto"/>
            <w:vAlign w:val="center"/>
          </w:tcPr>
          <w:p w14:paraId="366530FB"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64" w:type="dxa"/>
            <w:tcBorders>
              <w:top w:val="nil"/>
              <w:left w:val="single" w:sz="6" w:space="0" w:color="auto"/>
              <w:bottom w:val="nil"/>
              <w:right w:val="nil"/>
            </w:tcBorders>
            <w:shd w:val="clear" w:color="auto" w:fill="auto"/>
            <w:vAlign w:val="center"/>
            <w:hideMark/>
          </w:tcPr>
          <w:p w14:paraId="6314DA6F"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2346" w:type="dxa"/>
            <w:gridSpan w:val="2"/>
            <w:vMerge/>
            <w:tcBorders>
              <w:left w:val="nil"/>
              <w:right w:val="nil"/>
            </w:tcBorders>
            <w:shd w:val="clear" w:color="auto" w:fill="auto"/>
            <w:vAlign w:val="center"/>
            <w:hideMark/>
          </w:tcPr>
          <w:p w14:paraId="320CB894"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2126" w:type="dxa"/>
            <w:gridSpan w:val="2"/>
            <w:vMerge/>
            <w:tcBorders>
              <w:top w:val="nil"/>
              <w:left w:val="nil"/>
              <w:bottom w:val="nil"/>
              <w:right w:val="nil"/>
            </w:tcBorders>
            <w:shd w:val="clear" w:color="auto" w:fill="auto"/>
            <w:vAlign w:val="center"/>
            <w:hideMark/>
          </w:tcPr>
          <w:p w14:paraId="2D11E0F4" w14:textId="77777777" w:rsidR="009818B5" w:rsidRPr="00D7338C" w:rsidRDefault="009818B5" w:rsidP="00B90A24">
            <w:pPr>
              <w:spacing w:after="0" w:line="240" w:lineRule="auto"/>
              <w:textAlignment w:val="baseline"/>
              <w:rPr>
                <w:rFonts w:eastAsia="Times New Roman" w:cs="Times New Roman"/>
                <w:sz w:val="22"/>
                <w:lang w:eastAsia="en-GB"/>
              </w:rPr>
            </w:pPr>
          </w:p>
        </w:tc>
      </w:tr>
      <w:tr w:rsidR="009818B5" w:rsidRPr="00D7338C" w14:paraId="59891151" w14:textId="77777777" w:rsidTr="002833F3">
        <w:trPr>
          <w:trHeight w:val="653"/>
        </w:trPr>
        <w:tc>
          <w:tcPr>
            <w:tcW w:w="884" w:type="dxa"/>
            <w:tcBorders>
              <w:top w:val="nil"/>
              <w:left w:val="nil"/>
              <w:bottom w:val="nil"/>
              <w:right w:val="nil"/>
            </w:tcBorders>
            <w:shd w:val="clear" w:color="auto" w:fill="auto"/>
            <w:vAlign w:val="center"/>
            <w:hideMark/>
          </w:tcPr>
          <w:p w14:paraId="078AFE9C" w14:textId="77777777" w:rsidR="009818B5" w:rsidRPr="00D7338C" w:rsidRDefault="009818B5" w:rsidP="00B90A24">
            <w:pPr>
              <w:spacing w:after="0" w:line="240" w:lineRule="auto"/>
              <w:textAlignment w:val="baseline"/>
              <w:rPr>
                <w:rFonts w:eastAsia="Times New Roman" w:cs="Times New Roman"/>
                <w:sz w:val="22"/>
                <w:lang w:eastAsia="en-GB"/>
              </w:rPr>
            </w:pPr>
            <w:r w:rsidRPr="00D7338C">
              <w:rPr>
                <w:rFonts w:eastAsia="Times New Roman" w:cs="Times New Roman"/>
                <w:sz w:val="22"/>
                <w:lang w:eastAsia="en-GB"/>
              </w:rPr>
              <w:t> </w:t>
            </w:r>
          </w:p>
        </w:tc>
        <w:tc>
          <w:tcPr>
            <w:tcW w:w="1277" w:type="dxa"/>
            <w:gridSpan w:val="2"/>
            <w:vMerge/>
            <w:tcBorders>
              <w:left w:val="nil"/>
              <w:bottom w:val="nil"/>
              <w:right w:val="single" w:sz="4" w:space="0" w:color="auto"/>
            </w:tcBorders>
            <w:shd w:val="clear" w:color="auto" w:fill="auto"/>
            <w:vAlign w:val="center"/>
            <w:hideMark/>
          </w:tcPr>
          <w:p w14:paraId="7A565546" w14:textId="77777777" w:rsidR="009818B5" w:rsidRPr="00D7338C" w:rsidRDefault="009818B5" w:rsidP="00B90A24">
            <w:pPr>
              <w:spacing w:after="0" w:line="240" w:lineRule="auto"/>
              <w:textAlignment w:val="baseline"/>
              <w:rPr>
                <w:rFonts w:eastAsia="Times New Roman" w:cs="Times New Roman"/>
                <w:sz w:val="22"/>
                <w:lang w:eastAsia="en-GB"/>
              </w:rPr>
            </w:pPr>
          </w:p>
        </w:tc>
        <w:tc>
          <w:tcPr>
            <w:tcW w:w="1984" w:type="dxa"/>
            <w:gridSpan w:val="2"/>
            <w:tcBorders>
              <w:top w:val="single" w:sz="6" w:space="0" w:color="auto"/>
              <w:left w:val="single" w:sz="4" w:space="0" w:color="auto"/>
              <w:bottom w:val="single" w:sz="6" w:space="0" w:color="auto"/>
              <w:right w:val="single" w:sz="4" w:space="0" w:color="auto"/>
            </w:tcBorders>
            <w:shd w:val="clear" w:color="auto" w:fill="auto"/>
            <w:vAlign w:val="center"/>
            <w:hideMark/>
          </w:tcPr>
          <w:p w14:paraId="5D125DE2"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b/>
                <w:bCs/>
                <w:sz w:val="22"/>
                <w:lang w:val="en-US" w:eastAsia="en-GB"/>
              </w:rPr>
              <w:t>8</w:t>
            </w:r>
            <w:r w:rsidRPr="00D7338C">
              <w:rPr>
                <w:rFonts w:eastAsia="Times New Roman" w:cs="Times New Roman"/>
                <w:sz w:val="22"/>
                <w:lang w:eastAsia="en-GB"/>
              </w:rPr>
              <w:t> Notional interest deduction</w:t>
            </w:r>
          </w:p>
          <w:p w14:paraId="24A87FE5" w14:textId="77777777" w:rsidR="009818B5" w:rsidRPr="00D7338C" w:rsidRDefault="009818B5" w:rsidP="00B90A24">
            <w:pPr>
              <w:spacing w:after="0" w:line="240" w:lineRule="auto"/>
              <w:jc w:val="center"/>
              <w:textAlignment w:val="baseline"/>
              <w:rPr>
                <w:rFonts w:eastAsia="Times New Roman" w:cs="Times New Roman"/>
                <w:sz w:val="22"/>
                <w:lang w:eastAsia="en-GB"/>
              </w:rPr>
            </w:pPr>
            <w:r w:rsidRPr="00D7338C">
              <w:rPr>
                <w:rFonts w:eastAsia="Times New Roman" w:cs="Times New Roman"/>
                <w:sz w:val="22"/>
                <w:lang w:eastAsia="en-GB"/>
              </w:rPr>
              <w:t>ID 516</w:t>
            </w:r>
          </w:p>
        </w:tc>
        <w:tc>
          <w:tcPr>
            <w:tcW w:w="1985" w:type="dxa"/>
            <w:gridSpan w:val="2"/>
            <w:tcBorders>
              <w:top w:val="single" w:sz="4" w:space="0" w:color="auto"/>
              <w:left w:val="single" w:sz="4" w:space="0" w:color="auto"/>
              <w:bottom w:val="nil"/>
              <w:right w:val="nil"/>
            </w:tcBorders>
            <w:shd w:val="clear" w:color="auto" w:fill="auto"/>
            <w:vAlign w:val="center"/>
          </w:tcPr>
          <w:p w14:paraId="6F3F3108" w14:textId="77777777" w:rsidR="009818B5" w:rsidRPr="00D7338C" w:rsidRDefault="009818B5" w:rsidP="00B90A24">
            <w:pPr>
              <w:spacing w:after="0" w:line="240" w:lineRule="auto"/>
              <w:jc w:val="center"/>
              <w:rPr>
                <w:rFonts w:eastAsia="Times New Roman" w:cs="Times New Roman"/>
                <w:sz w:val="22"/>
                <w:lang w:eastAsia="en-GB"/>
              </w:rPr>
            </w:pPr>
          </w:p>
        </w:tc>
        <w:tc>
          <w:tcPr>
            <w:tcW w:w="64" w:type="dxa"/>
            <w:tcBorders>
              <w:top w:val="nil"/>
              <w:left w:val="nil"/>
              <w:bottom w:val="nil"/>
              <w:right w:val="nil"/>
            </w:tcBorders>
            <w:shd w:val="clear" w:color="auto" w:fill="auto"/>
            <w:vAlign w:val="center"/>
          </w:tcPr>
          <w:p w14:paraId="6648ECA0"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2346" w:type="dxa"/>
            <w:gridSpan w:val="2"/>
            <w:vMerge/>
            <w:tcBorders>
              <w:left w:val="nil"/>
              <w:bottom w:val="nil"/>
              <w:right w:val="nil"/>
            </w:tcBorders>
            <w:shd w:val="clear" w:color="auto" w:fill="auto"/>
            <w:vAlign w:val="center"/>
          </w:tcPr>
          <w:p w14:paraId="16AAA58C" w14:textId="77777777" w:rsidR="009818B5" w:rsidRPr="00D7338C" w:rsidRDefault="009818B5" w:rsidP="00B90A24">
            <w:pPr>
              <w:spacing w:after="0" w:line="240" w:lineRule="auto"/>
              <w:jc w:val="center"/>
              <w:textAlignment w:val="baseline"/>
              <w:rPr>
                <w:rFonts w:eastAsia="Times New Roman" w:cs="Times New Roman"/>
                <w:sz w:val="22"/>
                <w:lang w:eastAsia="en-GB"/>
              </w:rPr>
            </w:pPr>
          </w:p>
        </w:tc>
        <w:tc>
          <w:tcPr>
            <w:tcW w:w="2126" w:type="dxa"/>
            <w:gridSpan w:val="2"/>
            <w:vMerge/>
            <w:tcBorders>
              <w:top w:val="nil"/>
              <w:left w:val="nil"/>
              <w:bottom w:val="nil"/>
              <w:right w:val="nil"/>
            </w:tcBorders>
            <w:shd w:val="clear" w:color="auto" w:fill="auto"/>
            <w:vAlign w:val="center"/>
            <w:hideMark/>
          </w:tcPr>
          <w:p w14:paraId="2B9DA328" w14:textId="77777777" w:rsidR="009818B5" w:rsidRPr="00D7338C" w:rsidRDefault="009818B5" w:rsidP="00B90A24">
            <w:pPr>
              <w:keepNext/>
              <w:spacing w:after="0" w:line="240" w:lineRule="auto"/>
              <w:textAlignment w:val="baseline"/>
              <w:rPr>
                <w:rFonts w:eastAsia="Times New Roman" w:cs="Times New Roman"/>
                <w:sz w:val="22"/>
                <w:lang w:eastAsia="en-GB"/>
              </w:rPr>
            </w:pPr>
          </w:p>
        </w:tc>
      </w:tr>
    </w:tbl>
    <w:p w14:paraId="2682704B" w14:textId="10D1E827" w:rsidR="00A9558A" w:rsidRPr="00B90A24" w:rsidRDefault="009818B5" w:rsidP="00B90A24">
      <w:pPr>
        <w:pStyle w:val="Caption"/>
        <w:spacing w:after="0"/>
        <w:ind w:left="567" w:right="1031"/>
        <w:rPr>
          <w:sz w:val="28"/>
          <w:szCs w:val="28"/>
        </w:rPr>
      </w:pPr>
      <w:r w:rsidRPr="00B90A24">
        <w:rPr>
          <w:sz w:val="28"/>
          <w:szCs w:val="28"/>
        </w:rPr>
        <w:t xml:space="preserve">Figure </w:t>
      </w:r>
      <w:r w:rsidR="00A0375B" w:rsidRPr="00B90A24">
        <w:rPr>
          <w:sz w:val="28"/>
          <w:szCs w:val="28"/>
        </w:rPr>
        <w:fldChar w:fldCharType="begin"/>
      </w:r>
      <w:r w:rsidR="00A0375B" w:rsidRPr="00B90A24">
        <w:rPr>
          <w:sz w:val="28"/>
          <w:szCs w:val="28"/>
        </w:rPr>
        <w:instrText xml:space="preserve"> SEQ Figure \* ARABIC </w:instrText>
      </w:r>
      <w:r w:rsidR="00A0375B" w:rsidRPr="00B90A24">
        <w:rPr>
          <w:sz w:val="28"/>
          <w:szCs w:val="28"/>
        </w:rPr>
        <w:fldChar w:fldCharType="separate"/>
      </w:r>
      <w:r w:rsidR="000448CA" w:rsidRPr="00B90A24">
        <w:rPr>
          <w:noProof/>
          <w:sz w:val="28"/>
          <w:szCs w:val="28"/>
        </w:rPr>
        <w:t>1</w:t>
      </w:r>
      <w:r w:rsidR="00A0375B" w:rsidRPr="00B90A24">
        <w:rPr>
          <w:noProof/>
          <w:sz w:val="28"/>
          <w:szCs w:val="28"/>
        </w:rPr>
        <w:fldChar w:fldCharType="end"/>
      </w:r>
      <w:r w:rsidRPr="00B90A24">
        <w:rPr>
          <w:sz w:val="28"/>
          <w:szCs w:val="28"/>
        </w:rPr>
        <w:t>. Haven indicator categories in the Corporate Tax Haven Index 2019 (Tax Justice Network, 2019b, p. 8)</w:t>
      </w:r>
    </w:p>
    <w:p w14:paraId="2E283678" w14:textId="77777777" w:rsidR="00A9558A" w:rsidRPr="00B90A24" w:rsidRDefault="00A9558A" w:rsidP="00B90A24">
      <w:pPr>
        <w:spacing w:after="0" w:line="240" w:lineRule="auto"/>
        <w:jc w:val="both"/>
        <w:rPr>
          <w:sz w:val="28"/>
          <w:szCs w:val="28"/>
        </w:rPr>
      </w:pPr>
    </w:p>
    <w:p w14:paraId="561AE222" w14:textId="7FB18BA6" w:rsidR="0013559A" w:rsidRPr="00B90A24" w:rsidRDefault="00165551" w:rsidP="00B90A24">
      <w:pPr>
        <w:spacing w:after="0" w:line="240" w:lineRule="auto"/>
        <w:ind w:left="567" w:right="1031"/>
        <w:jc w:val="both"/>
        <w:rPr>
          <w:sz w:val="28"/>
          <w:szCs w:val="28"/>
        </w:rPr>
      </w:pPr>
      <w:r w:rsidRPr="00B90A24">
        <w:rPr>
          <w:sz w:val="28"/>
          <w:szCs w:val="28"/>
        </w:rPr>
        <w:t>T</w:t>
      </w:r>
      <w:r w:rsidR="00EB6438" w:rsidRPr="00B90A24">
        <w:rPr>
          <w:sz w:val="28"/>
          <w:szCs w:val="28"/>
        </w:rPr>
        <w:t xml:space="preserve">he BEPS </w:t>
      </w:r>
      <w:r w:rsidR="00CB559E" w:rsidRPr="00B90A24">
        <w:rPr>
          <w:sz w:val="28"/>
          <w:szCs w:val="28"/>
        </w:rPr>
        <w:t xml:space="preserve">Action 5 framework </w:t>
      </w:r>
      <w:r w:rsidR="00714745" w:rsidRPr="00B90A24">
        <w:rPr>
          <w:sz w:val="28"/>
          <w:szCs w:val="28"/>
        </w:rPr>
        <w:t xml:space="preserve">is the main international standard for trying to limit spillovers from tax incentives. The framework </w:t>
      </w:r>
      <w:r w:rsidR="000D303B" w:rsidRPr="00B90A24">
        <w:rPr>
          <w:sz w:val="28"/>
          <w:szCs w:val="28"/>
        </w:rPr>
        <w:t xml:space="preserve">has been criticised for resulting in </w:t>
      </w:r>
      <w:r w:rsidR="00137754" w:rsidRPr="00B90A24">
        <w:rPr>
          <w:sz w:val="28"/>
          <w:szCs w:val="28"/>
        </w:rPr>
        <w:t xml:space="preserve">the “normalisation and </w:t>
      </w:r>
      <w:r w:rsidR="000D303B" w:rsidRPr="00B90A24">
        <w:rPr>
          <w:sz w:val="28"/>
          <w:szCs w:val="28"/>
        </w:rPr>
        <w:t>proliferation</w:t>
      </w:r>
      <w:r w:rsidR="00A3649D" w:rsidRPr="00B90A24">
        <w:rPr>
          <w:sz w:val="28"/>
          <w:szCs w:val="28"/>
        </w:rPr>
        <w:t xml:space="preserve"> </w:t>
      </w:r>
      <w:r w:rsidR="000D303B" w:rsidRPr="00B90A24">
        <w:rPr>
          <w:sz w:val="28"/>
          <w:szCs w:val="28"/>
        </w:rPr>
        <w:t xml:space="preserve">of </w:t>
      </w:r>
      <w:r w:rsidR="00A3649D" w:rsidRPr="00B90A24">
        <w:rPr>
          <w:sz w:val="28"/>
          <w:szCs w:val="28"/>
        </w:rPr>
        <w:t xml:space="preserve">‘acceptable </w:t>
      </w:r>
      <w:r w:rsidR="00753E8E" w:rsidRPr="00B90A24">
        <w:rPr>
          <w:sz w:val="28"/>
          <w:szCs w:val="28"/>
        </w:rPr>
        <w:t>incentives</w:t>
      </w:r>
      <w:r w:rsidR="002E4727" w:rsidRPr="00B90A24">
        <w:rPr>
          <w:sz w:val="28"/>
          <w:szCs w:val="28"/>
        </w:rPr>
        <w:t>,</w:t>
      </w:r>
      <w:r w:rsidR="00A3649D" w:rsidRPr="00B90A24">
        <w:rPr>
          <w:sz w:val="28"/>
          <w:szCs w:val="28"/>
        </w:rPr>
        <w:t xml:space="preserve">’” such as patent boxes or </w:t>
      </w:r>
      <w:r w:rsidR="0054314A" w:rsidRPr="00B90A24">
        <w:rPr>
          <w:sz w:val="28"/>
          <w:szCs w:val="28"/>
        </w:rPr>
        <w:t xml:space="preserve">special </w:t>
      </w:r>
      <w:r w:rsidR="00A3649D" w:rsidRPr="00B90A24">
        <w:rPr>
          <w:sz w:val="28"/>
          <w:szCs w:val="28"/>
        </w:rPr>
        <w:t>economic zones</w:t>
      </w:r>
      <w:r w:rsidR="009370F4" w:rsidRPr="00B90A24">
        <w:rPr>
          <w:sz w:val="28"/>
          <w:szCs w:val="28"/>
        </w:rPr>
        <w:t xml:space="preserve"> </w:t>
      </w:r>
      <w:r w:rsidR="009370F4" w:rsidRPr="00B90A24">
        <w:rPr>
          <w:sz w:val="28"/>
          <w:szCs w:val="28"/>
        </w:rPr>
        <w:fldChar w:fldCharType="begin"/>
      </w:r>
      <w:r w:rsidR="00B133DE" w:rsidRPr="00B90A24">
        <w:rPr>
          <w:sz w:val="28"/>
          <w:szCs w:val="28"/>
        </w:rPr>
        <w:instrText xml:space="preserve"> ADDIN ZOTERO_ITEM CSL_CITATION {"citationID":"PozIaEw6","properties":{"formattedCitation":"(Independent Commission for the Reform of International &amp; Corporate Taxation (ICRICT), 2019, p. 9)","plainCitation":"(Independent Commission for the Reform of International &amp; Corporate Taxation (ICRICT), 2019, p. 9)","dontUpdate":true,"noteIndex":0},"citationItems":[{"id":"LppWUde1/EfIyJHQR","uris":["http://zotero.org/users/1521920/items/6SD3TS46"],"uri":["http://zotero.org/users/1521920/items/6SD3TS46"],"itemData":{"id":33925,"type":"report","title":"The Fight Against Tax Avoidance - BEPS 2.0: What the OECD BEPS Process has achieved and what real reform should look like","URL":"https://static1.squarespace.com/static/5a0c602bf43b5594845abb81/t/5c409495f950b7e303b71a45/1547736215689/thefightagainsttaxavoidance_FINAL.pdf","author":[{"literal":"Independent Commission for the Reform of International"},{"literal":"Corporate Taxation (ICRICT)"}],"accessed":{"date-parts":[["2019",7,12]]},"issued":{"date-parts":[["2019"]]}},"locator":"9"}],"schema":"https://github.com/citation-style-language/schema/raw/master/csl-citation.json"} </w:instrText>
      </w:r>
      <w:r w:rsidR="009370F4" w:rsidRPr="00B90A24">
        <w:rPr>
          <w:sz w:val="28"/>
          <w:szCs w:val="28"/>
        </w:rPr>
        <w:fldChar w:fldCharType="separate"/>
      </w:r>
      <w:r w:rsidR="00D0767F" w:rsidRPr="00B90A24">
        <w:rPr>
          <w:rFonts w:cs="Times New Roman"/>
          <w:sz w:val="28"/>
          <w:szCs w:val="28"/>
        </w:rPr>
        <w:t>(ICRICT, 2019, p. 9)</w:t>
      </w:r>
      <w:r w:rsidR="009370F4" w:rsidRPr="00B90A24">
        <w:rPr>
          <w:sz w:val="28"/>
          <w:szCs w:val="28"/>
        </w:rPr>
        <w:fldChar w:fldCharType="end"/>
      </w:r>
      <w:r w:rsidR="002E4727" w:rsidRPr="00B90A24">
        <w:rPr>
          <w:sz w:val="28"/>
          <w:szCs w:val="28"/>
        </w:rPr>
        <w:t>,</w:t>
      </w:r>
      <w:r w:rsidR="009D080B" w:rsidRPr="00B90A24">
        <w:rPr>
          <w:sz w:val="28"/>
          <w:szCs w:val="28"/>
        </w:rPr>
        <w:t xml:space="preserve"> and its institutional </w:t>
      </w:r>
      <w:r w:rsidR="00F65540" w:rsidRPr="00B90A24">
        <w:rPr>
          <w:sz w:val="28"/>
          <w:szCs w:val="28"/>
        </w:rPr>
        <w:t xml:space="preserve">setup </w:t>
      </w:r>
      <w:r w:rsidR="0005465F" w:rsidRPr="00B90A24">
        <w:rPr>
          <w:sz w:val="28"/>
          <w:szCs w:val="28"/>
        </w:rPr>
        <w:t xml:space="preserve">challenged as “disjointed and </w:t>
      </w:r>
      <w:r w:rsidR="00453628" w:rsidRPr="00B90A24">
        <w:rPr>
          <w:sz w:val="28"/>
          <w:szCs w:val="28"/>
        </w:rPr>
        <w:t xml:space="preserve">dysfunctional” </w:t>
      </w:r>
      <w:r w:rsidR="00D20FED" w:rsidRPr="00B90A24">
        <w:rPr>
          <w:sz w:val="28"/>
          <w:szCs w:val="28"/>
        </w:rPr>
        <w:fldChar w:fldCharType="begin"/>
      </w:r>
      <w:r w:rsidR="00B133DE" w:rsidRPr="00B90A24">
        <w:rPr>
          <w:sz w:val="28"/>
          <w:szCs w:val="28"/>
        </w:rPr>
        <w:instrText xml:space="preserve"> ADDIN ZOTERO_ITEM CSL_CITATION {"citationID":"a1l4jd5d5mh","properties":{"formattedCitation":"\\uldash{(Independent Commission for the Reform of International Corporate (ICRICT) &amp; Taxation, 2018, p. 13)}","plainCitation":"(Independent Commission for the Reform of International Corporate (ICRICT) &amp; Taxation, 2018, p. 13)","dontUpdate":true,"noteIndex":0},"citationItems":[{"id":"LppWUde1/32zuvi4t","uris":["http://zotero.org/users/1521920/items/U66636YL"],"uri":["http://zotero.org/users/1521920/items/U66636YL"],"itemData":{"id":8537,"type":"report","title":"A Roadmap To Improve Rules for Taxing Multinationals. A Fairer Future For Global Taxation","URL":"https://static1.squarespace.com/static/5a0c602bf43b5594845abb81/t/5a78e6909140b73efc08eab6/1517872798080/ICRICT+Unitary+Taxation+Eng+Feb2018.pdf","author":[{"literal":"Independent Commission for the Reform of International Corporate (ICRICT)"},{"literal":"Taxation"}],"accessed":{"date-parts":[["2018",2,21]]},"issued":{"date-parts":[["2018"]]}},"locator":"13"}],"schema":"https://github.com/citation-style-language/schema/raw/master/csl-citation.json"} </w:instrText>
      </w:r>
      <w:r w:rsidR="00D20FED" w:rsidRPr="00B90A24">
        <w:rPr>
          <w:sz w:val="28"/>
          <w:szCs w:val="28"/>
        </w:rPr>
        <w:fldChar w:fldCharType="separate"/>
      </w:r>
      <w:r w:rsidR="00F86B07" w:rsidRPr="00B90A24">
        <w:rPr>
          <w:rFonts w:cs="Times New Roman"/>
          <w:sz w:val="28"/>
          <w:szCs w:val="28"/>
        </w:rPr>
        <w:t>(ICRICT, 2018, p. 13)</w:t>
      </w:r>
      <w:r w:rsidR="00D20FED" w:rsidRPr="00B90A24">
        <w:rPr>
          <w:sz w:val="28"/>
          <w:szCs w:val="28"/>
        </w:rPr>
        <w:fldChar w:fldCharType="end"/>
      </w:r>
      <w:r w:rsidR="009709A9" w:rsidRPr="00B90A24">
        <w:rPr>
          <w:sz w:val="28"/>
          <w:szCs w:val="28"/>
        </w:rPr>
        <w:t xml:space="preserve"> </w:t>
      </w:r>
      <w:r w:rsidR="007F3A05" w:rsidRPr="00B90A24">
        <w:rPr>
          <w:sz w:val="28"/>
          <w:szCs w:val="28"/>
        </w:rPr>
        <w:t xml:space="preserve">because </w:t>
      </w:r>
      <w:r w:rsidR="00BB55A6" w:rsidRPr="00B90A24">
        <w:rPr>
          <w:sz w:val="28"/>
          <w:szCs w:val="28"/>
        </w:rPr>
        <w:t xml:space="preserve">access to </w:t>
      </w:r>
      <w:r w:rsidR="00106149" w:rsidRPr="00B90A24">
        <w:rPr>
          <w:sz w:val="28"/>
          <w:szCs w:val="28"/>
        </w:rPr>
        <w:t xml:space="preserve">decision making in the Inclusive Framework was </w:t>
      </w:r>
      <w:r w:rsidR="00BB55A6" w:rsidRPr="00B90A24">
        <w:rPr>
          <w:sz w:val="28"/>
          <w:szCs w:val="28"/>
        </w:rPr>
        <w:t xml:space="preserve">opened </w:t>
      </w:r>
      <w:r w:rsidR="00BB55A6" w:rsidRPr="00B90A24">
        <w:rPr>
          <w:sz w:val="28"/>
          <w:szCs w:val="28"/>
        </w:rPr>
        <w:lastRenderedPageBreak/>
        <w:t xml:space="preserve">to non-OECD members </w:t>
      </w:r>
      <w:r w:rsidR="000A387D" w:rsidRPr="00B90A24">
        <w:rPr>
          <w:sz w:val="28"/>
          <w:szCs w:val="28"/>
        </w:rPr>
        <w:t xml:space="preserve">only after </w:t>
      </w:r>
      <w:r w:rsidR="007F3A05" w:rsidRPr="00B90A24">
        <w:rPr>
          <w:sz w:val="28"/>
          <w:szCs w:val="28"/>
        </w:rPr>
        <w:t xml:space="preserve">key </w:t>
      </w:r>
      <w:r w:rsidR="000A387D" w:rsidRPr="00B90A24">
        <w:rPr>
          <w:sz w:val="28"/>
          <w:szCs w:val="28"/>
        </w:rPr>
        <w:t xml:space="preserve">decisions </w:t>
      </w:r>
      <w:r w:rsidR="007F3A05" w:rsidRPr="00B90A24">
        <w:rPr>
          <w:sz w:val="28"/>
          <w:szCs w:val="28"/>
        </w:rPr>
        <w:t xml:space="preserve">on the </w:t>
      </w:r>
      <w:r w:rsidR="000A387D" w:rsidRPr="00B90A24">
        <w:rPr>
          <w:sz w:val="28"/>
          <w:szCs w:val="28"/>
        </w:rPr>
        <w:t xml:space="preserve">BEPS </w:t>
      </w:r>
      <w:r w:rsidR="00D20FED" w:rsidRPr="00B90A24">
        <w:rPr>
          <w:sz w:val="28"/>
          <w:szCs w:val="28"/>
        </w:rPr>
        <w:t xml:space="preserve">measures had been taken </w:t>
      </w:r>
      <w:r w:rsidR="000A387D" w:rsidRPr="00B90A24">
        <w:rPr>
          <w:sz w:val="28"/>
          <w:szCs w:val="28"/>
        </w:rPr>
        <w:t>by OECD members</w:t>
      </w:r>
      <w:r w:rsidR="00D20FED" w:rsidRPr="00B90A24">
        <w:rPr>
          <w:sz w:val="28"/>
          <w:szCs w:val="28"/>
        </w:rPr>
        <w:t>.</w:t>
      </w:r>
      <w:r w:rsidR="00AA0096" w:rsidRPr="00B90A24">
        <w:rPr>
          <w:sz w:val="28"/>
          <w:szCs w:val="28"/>
        </w:rPr>
        <w:t xml:space="preserve"> </w:t>
      </w:r>
      <w:r w:rsidR="00D5746E" w:rsidRPr="00B90A24">
        <w:rPr>
          <w:sz w:val="28"/>
          <w:szCs w:val="28"/>
        </w:rPr>
        <w:t>The Action 5 framework is a</w:t>
      </w:r>
      <w:r w:rsidR="00AA0096" w:rsidRPr="00B90A24">
        <w:rPr>
          <w:sz w:val="28"/>
          <w:szCs w:val="28"/>
        </w:rPr>
        <w:t>dministered by the Forum on Harmful Tax Practice</w:t>
      </w:r>
      <w:r w:rsidR="00B611DE" w:rsidRPr="00B90A24">
        <w:rPr>
          <w:sz w:val="28"/>
          <w:szCs w:val="28"/>
        </w:rPr>
        <w:t xml:space="preserve">s </w:t>
      </w:r>
      <w:r w:rsidR="00D5746E" w:rsidRPr="00B90A24">
        <w:rPr>
          <w:sz w:val="28"/>
          <w:szCs w:val="28"/>
        </w:rPr>
        <w:t xml:space="preserve">which </w:t>
      </w:r>
      <w:r w:rsidR="00B611DE" w:rsidRPr="00B90A24">
        <w:rPr>
          <w:sz w:val="28"/>
          <w:szCs w:val="28"/>
        </w:rPr>
        <w:t xml:space="preserve">reports to the Inclusive Framework </w:t>
      </w:r>
      <w:r w:rsidR="00D5746E" w:rsidRPr="00B90A24">
        <w:rPr>
          <w:sz w:val="28"/>
          <w:szCs w:val="28"/>
        </w:rPr>
        <w:t xml:space="preserve">at the OECD </w:t>
      </w:r>
      <w:r w:rsidR="00B611DE" w:rsidRPr="00B90A24">
        <w:rPr>
          <w:sz w:val="28"/>
          <w:szCs w:val="28"/>
        </w:rPr>
        <w:t xml:space="preserve">and </w:t>
      </w:r>
      <w:r w:rsidR="00B540BC" w:rsidRPr="00B90A24">
        <w:rPr>
          <w:sz w:val="28"/>
          <w:szCs w:val="28"/>
        </w:rPr>
        <w:t xml:space="preserve">periodically </w:t>
      </w:r>
      <w:r w:rsidR="00AF68E7" w:rsidRPr="00B90A24">
        <w:rPr>
          <w:sz w:val="28"/>
          <w:szCs w:val="28"/>
        </w:rPr>
        <w:t>publishe</w:t>
      </w:r>
      <w:r w:rsidR="00B540BC" w:rsidRPr="00B90A24">
        <w:rPr>
          <w:sz w:val="28"/>
          <w:szCs w:val="28"/>
        </w:rPr>
        <w:t>s</w:t>
      </w:r>
      <w:r w:rsidR="00AF68E7" w:rsidRPr="00B90A24">
        <w:rPr>
          <w:sz w:val="28"/>
          <w:szCs w:val="28"/>
        </w:rPr>
        <w:t xml:space="preserve"> </w:t>
      </w:r>
      <w:r w:rsidR="00934A2B" w:rsidRPr="00B90A24">
        <w:rPr>
          <w:sz w:val="28"/>
          <w:szCs w:val="28"/>
        </w:rPr>
        <w:t xml:space="preserve">peer reviews </w:t>
      </w:r>
      <w:r w:rsidR="00B540BC" w:rsidRPr="00B90A24">
        <w:rPr>
          <w:sz w:val="28"/>
          <w:szCs w:val="28"/>
        </w:rPr>
        <w:t xml:space="preserve">on </w:t>
      </w:r>
      <w:r w:rsidR="00B611DE" w:rsidRPr="00B90A24">
        <w:rPr>
          <w:sz w:val="28"/>
          <w:szCs w:val="28"/>
        </w:rPr>
        <w:t xml:space="preserve">the </w:t>
      </w:r>
      <w:r w:rsidR="00934A2B" w:rsidRPr="00B90A24">
        <w:rPr>
          <w:sz w:val="28"/>
          <w:szCs w:val="28"/>
        </w:rPr>
        <w:t xml:space="preserve">potentially </w:t>
      </w:r>
      <w:r w:rsidR="00CF78E0" w:rsidRPr="00B90A24">
        <w:rPr>
          <w:sz w:val="28"/>
          <w:szCs w:val="28"/>
        </w:rPr>
        <w:t xml:space="preserve">harmful </w:t>
      </w:r>
      <w:r w:rsidR="00B611DE" w:rsidRPr="00B90A24">
        <w:rPr>
          <w:sz w:val="28"/>
          <w:szCs w:val="28"/>
        </w:rPr>
        <w:t>tax regime</w:t>
      </w:r>
      <w:r w:rsidR="00CF78E0" w:rsidRPr="00B90A24">
        <w:rPr>
          <w:sz w:val="28"/>
          <w:szCs w:val="28"/>
        </w:rPr>
        <w:t>s</w:t>
      </w:r>
      <w:r w:rsidR="0016707E" w:rsidRPr="00B90A24">
        <w:rPr>
          <w:sz w:val="28"/>
          <w:szCs w:val="28"/>
        </w:rPr>
        <w:t xml:space="preserve"> </w:t>
      </w:r>
      <w:r w:rsidR="00496631" w:rsidRPr="00B90A24">
        <w:rPr>
          <w:sz w:val="28"/>
          <w:szCs w:val="28"/>
        </w:rPr>
        <w:fldChar w:fldCharType="begin"/>
      </w:r>
      <w:r w:rsidR="00B133DE" w:rsidRPr="00B90A24">
        <w:rPr>
          <w:sz w:val="28"/>
          <w:szCs w:val="28"/>
        </w:rPr>
        <w:instrText xml:space="preserve"> ADDIN ZOTERO_ITEM CSL_CITATION {"citationID":"a1a99d7csu2","properties":{"formattedCitation":"(OECD, 2019a; OECD Inclusive Framework, 2019)","plainCitation":"(OECD, 2019a; OECD Inclusive Framework, 2019)","noteIndex":0},"citationItems":[{"id":4108,"uris":["http://zotero.org/groups/997303/items/IZLTA8QI"],"uri":["http://zotero.org/groups/997303/items/IZLTA8QI"],"itemData":{"id":4108,"type":"report","genre":"OECD/G20 Base Erosion and Profit Shifting Project","title":"Harmful Tax Practices ‑ 2018 Progress Report on Preferential Regimes: Inclusive Framework on BEPS: Action 5","URL":"https://doi.org/10.1787/9789264311480-en","author":[{"family":"OECD","given":""}],"accessed":{"date-parts":[["2019",5,20]]},"issued":{"date-parts":[["2019"]]}}},{"id":"LppWUde1/YwT1vSUk","uris":["http://zotero.org/users/1521920/items/BQPK2ZU6"],"uri":["http://zotero.org/users/1521920/items/BQPK2ZU6"],"itemData":{"id":35434,"type":"report","event-place":"Paris","publisher-place":"Paris","title":"Harmful Tax Practices – Peer Review Results. Action 5 Update (as of July 2019)","URL":"https://www.oecd.org/tax/beps/harmful-tax-practices-peer-review-results-on-preferential-regimes.pdf","author":[{"family":"OECD Inclusive Framework","given":""}],"accessed":{"date-parts":[["2020",6,11]]},"issued":{"date-parts":[["2019"]]}}}],"schema":"https://github.com/citation-style-language/schema/raw/master/csl-citation.json"} </w:instrText>
      </w:r>
      <w:r w:rsidR="00496631" w:rsidRPr="00B90A24">
        <w:rPr>
          <w:sz w:val="28"/>
          <w:szCs w:val="28"/>
        </w:rPr>
        <w:fldChar w:fldCharType="separate"/>
      </w:r>
      <w:r w:rsidR="00B133DE" w:rsidRPr="00B90A24">
        <w:rPr>
          <w:rFonts w:cs="Times New Roman"/>
          <w:sz w:val="28"/>
          <w:szCs w:val="28"/>
        </w:rPr>
        <w:t>(OECD, 2019a; OECD Inclusive Framework, 2019)</w:t>
      </w:r>
      <w:r w:rsidR="00496631" w:rsidRPr="00B90A24">
        <w:rPr>
          <w:sz w:val="28"/>
          <w:szCs w:val="28"/>
        </w:rPr>
        <w:fldChar w:fldCharType="end"/>
      </w:r>
      <w:r w:rsidR="00B611DE" w:rsidRPr="00B90A24">
        <w:rPr>
          <w:sz w:val="28"/>
          <w:szCs w:val="28"/>
        </w:rPr>
        <w:t xml:space="preserve">. </w:t>
      </w:r>
      <w:r w:rsidR="00241BE5" w:rsidRPr="00B90A24">
        <w:rPr>
          <w:sz w:val="28"/>
          <w:szCs w:val="28"/>
        </w:rPr>
        <w:t xml:space="preserve">The peer review reports dispense with </w:t>
      </w:r>
      <w:r w:rsidR="003854E4" w:rsidRPr="00B90A24">
        <w:rPr>
          <w:sz w:val="28"/>
          <w:szCs w:val="28"/>
        </w:rPr>
        <w:t xml:space="preserve">a </w:t>
      </w:r>
      <w:r w:rsidR="007628F2" w:rsidRPr="00B90A24">
        <w:rPr>
          <w:sz w:val="28"/>
          <w:szCs w:val="28"/>
        </w:rPr>
        <w:t xml:space="preserve">reasoned </w:t>
      </w:r>
      <w:r w:rsidR="0042259F" w:rsidRPr="00B90A24">
        <w:rPr>
          <w:sz w:val="28"/>
          <w:szCs w:val="28"/>
        </w:rPr>
        <w:t>evaluation</w:t>
      </w:r>
      <w:r w:rsidR="007628F2" w:rsidRPr="00B90A24">
        <w:rPr>
          <w:sz w:val="28"/>
          <w:szCs w:val="28"/>
        </w:rPr>
        <w:t xml:space="preserve"> for the decisions taken, resulting </w:t>
      </w:r>
      <w:r w:rsidR="003854E4" w:rsidRPr="00B90A24">
        <w:rPr>
          <w:sz w:val="28"/>
          <w:szCs w:val="28"/>
        </w:rPr>
        <w:t xml:space="preserve">in </w:t>
      </w:r>
      <w:r w:rsidR="005A3EB4" w:rsidRPr="00B90A24">
        <w:rPr>
          <w:sz w:val="28"/>
          <w:szCs w:val="28"/>
        </w:rPr>
        <w:t xml:space="preserve">concerns about the </w:t>
      </w:r>
      <w:r w:rsidR="00421448" w:rsidRPr="00B90A24">
        <w:rPr>
          <w:sz w:val="28"/>
          <w:szCs w:val="28"/>
        </w:rPr>
        <w:t>integrity and</w:t>
      </w:r>
      <w:r w:rsidR="004D6D87" w:rsidRPr="00B90A24">
        <w:rPr>
          <w:sz w:val="28"/>
          <w:szCs w:val="28"/>
        </w:rPr>
        <w:t xml:space="preserve"> lack of </w:t>
      </w:r>
      <w:r w:rsidR="00421448" w:rsidRPr="00B90A24">
        <w:rPr>
          <w:sz w:val="28"/>
          <w:szCs w:val="28"/>
        </w:rPr>
        <w:t>trans</w:t>
      </w:r>
      <w:r w:rsidR="004D6D87" w:rsidRPr="00B90A24">
        <w:rPr>
          <w:sz w:val="28"/>
          <w:szCs w:val="28"/>
        </w:rPr>
        <w:t>parency</w:t>
      </w:r>
      <w:r w:rsidR="002E4727" w:rsidRPr="00B90A24">
        <w:rPr>
          <w:sz w:val="28"/>
          <w:szCs w:val="28"/>
        </w:rPr>
        <w:t xml:space="preserve"> o</w:t>
      </w:r>
      <w:r w:rsidR="00D66C5F" w:rsidRPr="00B90A24">
        <w:rPr>
          <w:sz w:val="28"/>
          <w:szCs w:val="28"/>
        </w:rPr>
        <w:t>f</w:t>
      </w:r>
      <w:r w:rsidR="002E4727" w:rsidRPr="00B90A24">
        <w:rPr>
          <w:sz w:val="28"/>
          <w:szCs w:val="28"/>
        </w:rPr>
        <w:t xml:space="preserve"> reviews, such as,</w:t>
      </w:r>
      <w:r w:rsidR="002D2C0E" w:rsidRPr="00B90A24">
        <w:rPr>
          <w:sz w:val="28"/>
          <w:szCs w:val="28"/>
        </w:rPr>
        <w:t xml:space="preserve"> around the distinctions made between potentially or actually harmful</w:t>
      </w:r>
      <w:r w:rsidR="002E4727" w:rsidRPr="00B90A24">
        <w:rPr>
          <w:sz w:val="28"/>
          <w:szCs w:val="28"/>
        </w:rPr>
        <w:t xml:space="preserve"> tax regimes</w:t>
      </w:r>
      <w:r w:rsidR="0042259F" w:rsidRPr="00B90A24">
        <w:rPr>
          <w:sz w:val="28"/>
          <w:szCs w:val="28"/>
        </w:rPr>
        <w:t xml:space="preserve">. </w:t>
      </w:r>
      <w:r w:rsidR="00010B4B" w:rsidRPr="00B90A24">
        <w:rPr>
          <w:sz w:val="28"/>
          <w:szCs w:val="28"/>
        </w:rPr>
        <w:t xml:space="preserve">The peer reviews might </w:t>
      </w:r>
      <w:r w:rsidR="002E4727" w:rsidRPr="00B90A24">
        <w:rPr>
          <w:sz w:val="28"/>
          <w:szCs w:val="28"/>
        </w:rPr>
        <w:t xml:space="preserve">thus </w:t>
      </w:r>
      <w:r w:rsidR="00010B4B" w:rsidRPr="00B90A24">
        <w:rPr>
          <w:sz w:val="28"/>
          <w:szCs w:val="28"/>
        </w:rPr>
        <w:t xml:space="preserve">encourage </w:t>
      </w:r>
      <w:r w:rsidR="002E4727" w:rsidRPr="00B90A24">
        <w:rPr>
          <w:sz w:val="28"/>
          <w:szCs w:val="28"/>
        </w:rPr>
        <w:t xml:space="preserve">the </w:t>
      </w:r>
      <w:r w:rsidR="00010B4B" w:rsidRPr="00B90A24">
        <w:rPr>
          <w:sz w:val="28"/>
          <w:szCs w:val="28"/>
        </w:rPr>
        <w:t xml:space="preserve">proliferation of </w:t>
      </w:r>
      <w:r w:rsidR="0026725E" w:rsidRPr="00B90A24">
        <w:rPr>
          <w:sz w:val="28"/>
          <w:szCs w:val="28"/>
        </w:rPr>
        <w:t>regimes not found harmful</w:t>
      </w:r>
      <w:r w:rsidR="002E4727" w:rsidRPr="00B90A24">
        <w:rPr>
          <w:sz w:val="28"/>
          <w:szCs w:val="28"/>
        </w:rPr>
        <w:t xml:space="preserve"> by the review process</w:t>
      </w:r>
      <w:r w:rsidR="001162F5" w:rsidRPr="00B90A24">
        <w:rPr>
          <w:sz w:val="28"/>
          <w:szCs w:val="28"/>
        </w:rPr>
        <w:t xml:space="preserve"> </w:t>
      </w:r>
      <w:r w:rsidR="00F9014C" w:rsidRPr="00B90A24">
        <w:rPr>
          <w:sz w:val="28"/>
          <w:szCs w:val="28"/>
        </w:rPr>
        <w:t xml:space="preserve">and </w:t>
      </w:r>
      <w:r w:rsidR="00DB1E0E" w:rsidRPr="00B90A24">
        <w:rPr>
          <w:sz w:val="28"/>
          <w:szCs w:val="28"/>
        </w:rPr>
        <w:t xml:space="preserve">thus </w:t>
      </w:r>
      <w:r w:rsidR="002E4727" w:rsidRPr="00B90A24">
        <w:rPr>
          <w:sz w:val="28"/>
          <w:szCs w:val="28"/>
        </w:rPr>
        <w:t>increase the avenues for</w:t>
      </w:r>
      <w:r w:rsidR="007C0060" w:rsidRPr="00B90A24">
        <w:rPr>
          <w:sz w:val="28"/>
          <w:szCs w:val="28"/>
        </w:rPr>
        <w:t xml:space="preserve"> </w:t>
      </w:r>
      <w:r w:rsidR="00B631FA" w:rsidRPr="00B90A24">
        <w:rPr>
          <w:sz w:val="28"/>
          <w:szCs w:val="28"/>
        </w:rPr>
        <w:t>tax avoid</w:t>
      </w:r>
      <w:r w:rsidR="002E4727" w:rsidRPr="00B90A24">
        <w:rPr>
          <w:sz w:val="28"/>
          <w:szCs w:val="28"/>
        </w:rPr>
        <w:t>ance</w:t>
      </w:r>
      <w:r w:rsidR="00B631FA" w:rsidRPr="00B90A24">
        <w:rPr>
          <w:sz w:val="28"/>
          <w:szCs w:val="28"/>
        </w:rPr>
        <w:t xml:space="preserve">. </w:t>
      </w:r>
    </w:p>
    <w:p w14:paraId="2DAA79BA" w14:textId="77777777" w:rsidR="00A9558A" w:rsidRPr="00B90A24" w:rsidRDefault="00A9558A" w:rsidP="00B90A24">
      <w:pPr>
        <w:spacing w:after="0" w:line="240" w:lineRule="auto"/>
        <w:ind w:left="567" w:right="1031"/>
        <w:jc w:val="both"/>
        <w:rPr>
          <w:sz w:val="28"/>
          <w:szCs w:val="28"/>
        </w:rPr>
      </w:pPr>
    </w:p>
    <w:p w14:paraId="401C43B0" w14:textId="4E521870" w:rsidR="00A9558A" w:rsidRPr="00B90A24" w:rsidRDefault="007C0060" w:rsidP="00B90A24">
      <w:pPr>
        <w:spacing w:after="0" w:line="240" w:lineRule="auto"/>
        <w:ind w:left="567" w:right="1031"/>
        <w:jc w:val="both"/>
        <w:rPr>
          <w:rStyle w:val="CommentReference"/>
          <w:sz w:val="28"/>
          <w:szCs w:val="28"/>
        </w:rPr>
      </w:pPr>
      <w:r w:rsidRPr="00B90A24">
        <w:rPr>
          <w:sz w:val="28"/>
          <w:szCs w:val="28"/>
        </w:rPr>
        <w:t>As th</w:t>
      </w:r>
      <w:r w:rsidR="006B2769" w:rsidRPr="00B90A24">
        <w:rPr>
          <w:sz w:val="28"/>
          <w:szCs w:val="28"/>
        </w:rPr>
        <w:t>e entire</w:t>
      </w:r>
      <w:r w:rsidR="002E4727" w:rsidRPr="00B90A24">
        <w:rPr>
          <w:sz w:val="28"/>
          <w:szCs w:val="28"/>
        </w:rPr>
        <w:t xml:space="preserve"> review of potentially harmful tax</w:t>
      </w:r>
      <w:r w:rsidR="006B2769" w:rsidRPr="00B90A24">
        <w:rPr>
          <w:sz w:val="28"/>
          <w:szCs w:val="28"/>
        </w:rPr>
        <w:t xml:space="preserve"> regime</w:t>
      </w:r>
      <w:r w:rsidR="002E4727" w:rsidRPr="00B90A24">
        <w:rPr>
          <w:sz w:val="28"/>
          <w:szCs w:val="28"/>
        </w:rPr>
        <w:t>s</w:t>
      </w:r>
      <w:r w:rsidR="006B2769" w:rsidRPr="00B90A24">
        <w:rPr>
          <w:sz w:val="28"/>
          <w:szCs w:val="28"/>
        </w:rPr>
        <w:t xml:space="preserve"> only focuses on what the OECD qualifies as </w:t>
      </w:r>
      <w:r w:rsidR="00DE5866" w:rsidRPr="00B90A24">
        <w:rPr>
          <w:sz w:val="28"/>
          <w:szCs w:val="28"/>
        </w:rPr>
        <w:t xml:space="preserve">high risk </w:t>
      </w:r>
      <w:r w:rsidR="00DE5866" w:rsidRPr="00B90A24">
        <w:rPr>
          <w:i/>
          <w:sz w:val="28"/>
          <w:szCs w:val="28"/>
        </w:rPr>
        <w:t>“</w:t>
      </w:r>
      <w:r w:rsidR="00865DD3" w:rsidRPr="00B90A24">
        <w:rPr>
          <w:i/>
          <w:sz w:val="28"/>
          <w:szCs w:val="28"/>
        </w:rPr>
        <w:t xml:space="preserve">geographically </w:t>
      </w:r>
      <w:r w:rsidR="00DE5866" w:rsidRPr="00B90A24">
        <w:rPr>
          <w:i/>
          <w:sz w:val="28"/>
          <w:szCs w:val="28"/>
        </w:rPr>
        <w:t xml:space="preserve">mobile </w:t>
      </w:r>
      <w:r w:rsidR="00865DD3" w:rsidRPr="00B90A24">
        <w:rPr>
          <w:i/>
          <w:sz w:val="28"/>
          <w:szCs w:val="28"/>
        </w:rPr>
        <w:t>business income”</w:t>
      </w:r>
      <w:r w:rsidR="00865DD3" w:rsidRPr="00B90A24">
        <w:rPr>
          <w:sz w:val="28"/>
          <w:szCs w:val="28"/>
        </w:rPr>
        <w:t xml:space="preserve"> </w:t>
      </w:r>
      <w:r w:rsidR="00865DD3" w:rsidRPr="00B90A24">
        <w:rPr>
          <w:sz w:val="28"/>
          <w:szCs w:val="28"/>
        </w:rPr>
        <w:fldChar w:fldCharType="begin"/>
      </w:r>
      <w:r w:rsidR="00A06D6C" w:rsidRPr="00B90A24">
        <w:rPr>
          <w:sz w:val="28"/>
          <w:szCs w:val="28"/>
        </w:rPr>
        <w:instrText xml:space="preserve"> ADDIN ZOTERO_ITEM CSL_CITATION {"citationID":"aa1meichit","properties":{"formattedCitation":"(OECD, 2019a, p. 13)","plainCitation":"(OECD, 2019a, p. 13)","noteIndex":0},"citationItems":[{"id":4108,"uris":["http://zotero.org/groups/997303/items/IZLTA8QI"],"uri":["http://zotero.org/groups/997303/items/IZLTA8QI"],"itemData":{"id":4108,"type":"report","genre":"OECD/G20 Base Erosion and Profit Shifting Project","title":"Harmful Tax Practices ‑ 2018 Progress Report on Preferential Regimes: Inclusive Framework on BEPS: Action 5","URL":"https://doi.org/10.1787/9789264311480-en","author":[{"family":"OECD","given":""}],"accessed":{"date-parts":[["2019",5,20]]},"issued":{"date-parts":[["2019"]]}},"locator":"13"}],"schema":"https://github.com/citation-style-language/schema/raw/master/csl-citation.json"} </w:instrText>
      </w:r>
      <w:r w:rsidR="00865DD3" w:rsidRPr="00B90A24">
        <w:rPr>
          <w:sz w:val="28"/>
          <w:szCs w:val="28"/>
        </w:rPr>
        <w:fldChar w:fldCharType="separate"/>
      </w:r>
      <w:r w:rsidR="00B133DE" w:rsidRPr="00B90A24">
        <w:rPr>
          <w:rFonts w:cs="Times New Roman"/>
          <w:sz w:val="28"/>
          <w:szCs w:val="28"/>
        </w:rPr>
        <w:t>(OECD, 2019a, p. 13)</w:t>
      </w:r>
      <w:r w:rsidR="00865DD3" w:rsidRPr="00B90A24">
        <w:rPr>
          <w:sz w:val="28"/>
          <w:szCs w:val="28"/>
        </w:rPr>
        <w:fldChar w:fldCharType="end"/>
      </w:r>
      <w:r w:rsidR="00AC391C" w:rsidRPr="00B90A24">
        <w:rPr>
          <w:sz w:val="28"/>
          <w:szCs w:val="28"/>
        </w:rPr>
        <w:t xml:space="preserve">, </w:t>
      </w:r>
      <w:r w:rsidRPr="00B90A24">
        <w:rPr>
          <w:sz w:val="28"/>
          <w:szCs w:val="28"/>
        </w:rPr>
        <w:t xml:space="preserve">it </w:t>
      </w:r>
      <w:r w:rsidR="00AC391C" w:rsidRPr="00B90A24">
        <w:rPr>
          <w:sz w:val="28"/>
          <w:szCs w:val="28"/>
        </w:rPr>
        <w:t xml:space="preserve">ignores any </w:t>
      </w:r>
      <w:r w:rsidR="00811273" w:rsidRPr="00B90A24">
        <w:rPr>
          <w:sz w:val="28"/>
          <w:szCs w:val="28"/>
        </w:rPr>
        <w:t xml:space="preserve">other economic </w:t>
      </w:r>
      <w:r w:rsidR="00051D44" w:rsidRPr="00B90A24">
        <w:rPr>
          <w:sz w:val="28"/>
          <w:szCs w:val="28"/>
        </w:rPr>
        <w:t xml:space="preserve">activities </w:t>
      </w:r>
      <w:r w:rsidR="002E4727" w:rsidRPr="00B90A24">
        <w:rPr>
          <w:sz w:val="28"/>
          <w:szCs w:val="28"/>
        </w:rPr>
        <w:t>that</w:t>
      </w:r>
      <w:r w:rsidR="00811273" w:rsidRPr="00B90A24">
        <w:rPr>
          <w:sz w:val="28"/>
          <w:szCs w:val="28"/>
        </w:rPr>
        <w:t xml:space="preserve"> might </w:t>
      </w:r>
      <w:r w:rsidR="00A927B3" w:rsidRPr="00B90A24">
        <w:rPr>
          <w:sz w:val="28"/>
          <w:szCs w:val="28"/>
        </w:rPr>
        <w:t xml:space="preserve">equally result </w:t>
      </w:r>
      <w:r w:rsidR="002466AD" w:rsidRPr="00B90A24">
        <w:rPr>
          <w:sz w:val="28"/>
          <w:szCs w:val="28"/>
        </w:rPr>
        <w:t xml:space="preserve">in </w:t>
      </w:r>
      <w:r w:rsidR="00A927B3" w:rsidRPr="00B90A24">
        <w:rPr>
          <w:sz w:val="28"/>
          <w:szCs w:val="28"/>
        </w:rPr>
        <w:t>base erosion and profit shifting</w:t>
      </w:r>
      <w:r w:rsidR="00DF279A" w:rsidRPr="00B90A24">
        <w:rPr>
          <w:sz w:val="28"/>
          <w:szCs w:val="28"/>
        </w:rPr>
        <w:t xml:space="preserve"> </w:t>
      </w:r>
      <w:r w:rsidR="00474FDD" w:rsidRPr="00B90A24">
        <w:rPr>
          <w:sz w:val="28"/>
          <w:szCs w:val="28"/>
        </w:rPr>
        <w:t xml:space="preserve">and exert downward pressure on corporate taxes </w:t>
      </w:r>
      <w:r w:rsidR="00474FDD" w:rsidRPr="00B90A24">
        <w:rPr>
          <w:sz w:val="28"/>
          <w:szCs w:val="28"/>
        </w:rPr>
        <w:fldChar w:fldCharType="begin"/>
      </w:r>
      <w:r w:rsidR="00B133DE" w:rsidRPr="00B90A24">
        <w:rPr>
          <w:sz w:val="28"/>
          <w:szCs w:val="28"/>
        </w:rPr>
        <w:instrText xml:space="preserve"> ADDIN ZOTERO_ITEM CSL_CITATION {"citationID":"a2i48hpfacu","properties":{"formattedCitation":"(Heady &amp; Mansour, 2019; International Monetary Fund et al., 2015, p. 22; Mansour &amp; Keen, 2009; Meinzer et al., 2019, p. 11)","plainCitation":"(Heady &amp; Mansour, 2019; International Monetary Fund et al., 2015, p. 22; Mansour &amp; Keen, 2009; Meinzer et al., 2019, p. 11)","noteIndex":0},"citationItems":[{"id":"LppWUde1/oCBq2ZcR","uris":["http://zotero.org/users/1521920/items/YU4DXG8T"],"uri":["http://zotero.org/users/1521920/items/YU4DXG8T"],"itemData":{"id":35437,"type":"book","abstract":"This note aims to inform governments on how to account for tax expenditures and use that information in fiscal management. The emphasis is on developing and emerging market economies, where the use of such accounts is in its infancy because of data constraints, insufficient human and financial resources, and weak fiscal institutions. Most developing economies, more-over, do not have tax policy units in their Ministry of Finance to provide analytical support to the govern¬ment and legislature that integrates all revenue policy aspects. As a result, the tax policy framework can be fragmented: line ministries compete in the provision of sectoral tax incentives, but do not report on their cost. The note is organized as follows. The second section outlines the role that tax expenditure measurement and reporting can play in fiscal management. The third section provides a step-by-step approach on how tax expenditure accounts can be built, with emphasis on data, methods and models, and institutional requirements. The section is concerned primarily with the direct cost of tax expenditures—that is, the revenue forgone because of them. It does not deal with their indirect costs, which could include economic efficiency losses and additional tax administration resources, and it does not address assessment of the benefits of tax expenditures. The fourth summarizes the current sta¬tus of tax expenditure reporting in developing econo¬mies, with some reference to advanced economies. The last section concludes.","collection-title":"International Monetary Fund. Fiscal Affairs Dept","ISBN":"978-1-4983-0321-7","language":"en","note":"OCLC: 8375161882","publisher":"INTERNATIONAL MONETARY FUND","source":"Open WorldCat","title":"Tax Expenditure Reporting and Its Use in Fiscal Management A Guide for Developing Economies","author":[{"family":"Heady","given":"Christopher"},{"family":"Mansour","given":"Mario"}],"issued":{"date-parts":[["2019"]]}}},{"id":2993,"uris":["http://zotero.org/groups/997303/items/NVNBRAFX"],"uri":["http://zotero.org/groups/997303/items/NVNBRAFX"],"itemData":{"id":2993,"type":"report","language":"en","note":"DOI: 10.1596/22923","publisher":"World Bank","source":"CrossRef","title":"Options for Low Income Countries Effective and Efficient Use of Tax Incentives for Investment: A Report to the G-20 Development Working Group by the IMF, OECD, UN and World Bank","title-short":"Options for Low Income Countries Effective and Efficient Use of Tax Incentives for Investment","URL":"http://elibrary.worldbank.org/doi/book/10.1596/22923","author":[{"literal":"International Monetary Fund"},{"literal":"OECD"},{"literal":"United Nations"},{"literal":"World Bank"}],"accessed":{"date-parts":[["2018",3,28]]},"issued":{"date-parts":[["2015",10,15]]}},"locator":"22"},{"id":3356,"uris":["http://zotero.org/groups/997303/items/EXKRVHJL"],"uri":["http://zotero.org/groups/997303/items/EXKRVHJL"],"itemData":{"id":3356,"type":"report","collection-title":"Working Paper","language":"en","number":"09/157","publisher":"International Monetary Fund","title":"Revenue Mobilization in Sub-Saharan Africa : Challenges from Globalization","title-short":"Revenue Mobilization in Sub-Saharan Africa","URL":"https://www.imf.org/en/Publications/WP/Issues/2016/12/31/Revenue-Mobilization-in-Sub-Saharan-Africa-Challenges-from-Globalization-23124","author":[{"family":"Mansour","given":"Mario"},{"family":"Keen","given":"Michael"}],"accessed":{"date-parts":[["2018",12,16]]},"issued":{"date-parts":[["2009",7,1]]}}},{"id":3689,"uris":["http://zotero.org/groups/997303/items/FMVC7FGM"],"uri":["http://zotero.org/groups/997303/items/FMVC7FGM"],"itemData":{"id":3689,"type":"report","abstract":"Recent research suggests that profit based tax incentives are costly, tend to fail in attracting additional desirable foreign direct investment, and are problematic especially when they are temporary (eg tax holidays), geographically confined (eg economic zones) and when they provide full tax exemption/nil taxation (vs. tax reduction concession). Yet, there is no publicly available dataset that would allow systematic panel analyses across jurisdictions of these phenomena. This research gap limits the validity and reliability of existing research findings, and constrains future research into the relative effects and costs of tax incentives. Therefore, we analyse 15 countries, testing data availability, comparability and potential criteria for establishing an assessment matrix for a public cross-country dataset of profit based tax incentives. Preliminary findings suggest that when compared, high income countries tend to offer more cost based incentives, while middle and low income countries most often rely on special economic zones and tax holidays.","language":"en","page":"43","source":"Zotero","title":"Comparing tax incentives across jurisdictions: a pilot study","URL":"https://www.taxjustice.net/wp-content/uploads/2018/12/Comparing-tax-incentives-across-jurisdictions_Tax-Justice-Network_2019.pdf","author":[{"family":"Meinzer","given":"Markus"},{"family":"Ndajiwo","given":"Mustapha"},{"family":"Etter-Phoya","given":"Rachel"},{"family":"Diakité","given":"Maïmouna"}],"accessed":{"date-parts":[["2019",7,3]]},"issued":{"date-parts":[["2019"]]}},"locator":"11"}],"schema":"https://github.com/citation-style-language/schema/raw/master/csl-citation.json"} </w:instrText>
      </w:r>
      <w:r w:rsidR="00474FDD" w:rsidRPr="00B90A24">
        <w:rPr>
          <w:sz w:val="28"/>
          <w:szCs w:val="28"/>
        </w:rPr>
        <w:fldChar w:fldCharType="separate"/>
      </w:r>
      <w:r w:rsidR="00B133DE" w:rsidRPr="00B90A24">
        <w:rPr>
          <w:rFonts w:cs="Times New Roman"/>
          <w:sz w:val="28"/>
          <w:szCs w:val="28"/>
        </w:rPr>
        <w:t>(Heady &amp; Mansour, 2019; International Monetary Fund et al., 2015, p. 22; Mansour &amp; Keen, 2009; Meinzer et al., 2019, p. 11)</w:t>
      </w:r>
      <w:r w:rsidR="00474FDD" w:rsidRPr="00B90A24">
        <w:rPr>
          <w:sz w:val="28"/>
          <w:szCs w:val="28"/>
        </w:rPr>
        <w:fldChar w:fldCharType="end"/>
      </w:r>
      <w:r w:rsidR="002466AD" w:rsidRPr="00B90A24">
        <w:rPr>
          <w:sz w:val="28"/>
          <w:szCs w:val="28"/>
        </w:rPr>
        <w:t xml:space="preserve">. </w:t>
      </w:r>
      <w:r w:rsidR="00B05C89" w:rsidRPr="00B90A24">
        <w:rPr>
          <w:sz w:val="28"/>
          <w:szCs w:val="28"/>
        </w:rPr>
        <w:t xml:space="preserve">The </w:t>
      </w:r>
      <w:r w:rsidR="00466DF4" w:rsidRPr="00B90A24">
        <w:rPr>
          <w:sz w:val="28"/>
          <w:szCs w:val="28"/>
        </w:rPr>
        <w:t xml:space="preserve">Action 5 framework does not </w:t>
      </w:r>
      <w:r w:rsidR="006F31FD" w:rsidRPr="00B90A24">
        <w:rPr>
          <w:sz w:val="28"/>
          <w:szCs w:val="28"/>
        </w:rPr>
        <w:t xml:space="preserve">require </w:t>
      </w:r>
      <w:r w:rsidR="00AB70BE" w:rsidRPr="00B90A24">
        <w:rPr>
          <w:sz w:val="28"/>
          <w:szCs w:val="28"/>
        </w:rPr>
        <w:t xml:space="preserve">robust and </w:t>
      </w:r>
      <w:r w:rsidR="00626C12" w:rsidRPr="00B90A24">
        <w:rPr>
          <w:sz w:val="28"/>
          <w:szCs w:val="28"/>
        </w:rPr>
        <w:t xml:space="preserve">clearly </w:t>
      </w:r>
      <w:r w:rsidR="006F31FD" w:rsidRPr="00B90A24">
        <w:rPr>
          <w:sz w:val="28"/>
          <w:szCs w:val="28"/>
        </w:rPr>
        <w:t>define</w:t>
      </w:r>
      <w:r w:rsidR="00626C12" w:rsidRPr="00B90A24">
        <w:rPr>
          <w:sz w:val="28"/>
          <w:szCs w:val="28"/>
        </w:rPr>
        <w:t>d</w:t>
      </w:r>
      <w:r w:rsidR="006F31FD" w:rsidRPr="00B90A24">
        <w:rPr>
          <w:sz w:val="28"/>
          <w:szCs w:val="28"/>
        </w:rPr>
        <w:t xml:space="preserve"> </w:t>
      </w:r>
      <w:r w:rsidR="00B05C89" w:rsidRPr="00B90A24">
        <w:rPr>
          <w:sz w:val="28"/>
          <w:szCs w:val="28"/>
        </w:rPr>
        <w:t xml:space="preserve">economic substance </w:t>
      </w:r>
      <w:r w:rsidR="001C140F" w:rsidRPr="00B90A24">
        <w:rPr>
          <w:sz w:val="28"/>
          <w:szCs w:val="28"/>
        </w:rPr>
        <w:t xml:space="preserve">except </w:t>
      </w:r>
      <w:r w:rsidR="00113454" w:rsidRPr="00B90A24">
        <w:rPr>
          <w:sz w:val="28"/>
          <w:szCs w:val="28"/>
        </w:rPr>
        <w:t xml:space="preserve">for </w:t>
      </w:r>
      <w:r w:rsidR="0016065E" w:rsidRPr="00B90A24">
        <w:rPr>
          <w:sz w:val="28"/>
          <w:szCs w:val="28"/>
        </w:rPr>
        <w:t>patent boxes</w:t>
      </w:r>
      <w:r w:rsidR="001C140F" w:rsidRPr="00B90A24">
        <w:rPr>
          <w:sz w:val="28"/>
          <w:szCs w:val="28"/>
        </w:rPr>
        <w:t xml:space="preserve"> through the modified nexus approach</w:t>
      </w:r>
      <w:r w:rsidR="00F445DD" w:rsidRPr="00B90A24">
        <w:rPr>
          <w:sz w:val="28"/>
          <w:szCs w:val="28"/>
        </w:rPr>
        <w:t xml:space="preserve">. This </w:t>
      </w:r>
      <w:r w:rsidR="00843E18" w:rsidRPr="00B90A24">
        <w:rPr>
          <w:sz w:val="28"/>
          <w:szCs w:val="28"/>
        </w:rPr>
        <w:t>may result in scenarios where countries create</w:t>
      </w:r>
      <w:r w:rsidR="00D879F5" w:rsidRPr="00B90A24">
        <w:rPr>
          <w:sz w:val="28"/>
          <w:szCs w:val="28"/>
        </w:rPr>
        <w:t xml:space="preserve"> substance rules which are easy</w:t>
      </w:r>
      <w:r w:rsidR="00F445DD" w:rsidRPr="00B90A24">
        <w:rPr>
          <w:sz w:val="28"/>
          <w:szCs w:val="28"/>
        </w:rPr>
        <w:t xml:space="preserve"> to comply with</w:t>
      </w:r>
      <w:r w:rsidR="00D879F5" w:rsidRPr="00B90A24">
        <w:rPr>
          <w:sz w:val="28"/>
          <w:szCs w:val="28"/>
        </w:rPr>
        <w:t xml:space="preserve"> without materially changing the </w:t>
      </w:r>
      <w:r w:rsidR="00057A1A" w:rsidRPr="00B90A24">
        <w:rPr>
          <w:sz w:val="28"/>
          <w:szCs w:val="28"/>
        </w:rPr>
        <w:t xml:space="preserve">gross disproportion between substance </w:t>
      </w:r>
      <w:r w:rsidR="00C86213" w:rsidRPr="00B90A24">
        <w:rPr>
          <w:sz w:val="28"/>
          <w:szCs w:val="28"/>
        </w:rPr>
        <w:t xml:space="preserve">or expenditure, </w:t>
      </w:r>
      <w:r w:rsidR="00057A1A" w:rsidRPr="00B90A24">
        <w:rPr>
          <w:sz w:val="28"/>
          <w:szCs w:val="28"/>
        </w:rPr>
        <w:t>and profits attributed.</w:t>
      </w:r>
      <w:r w:rsidR="000C46C4" w:rsidRPr="00B90A24">
        <w:rPr>
          <w:rFonts w:eastAsia="Times New Roman" w:cs="Times New Roman"/>
          <w:sz w:val="28"/>
          <w:szCs w:val="28"/>
        </w:rPr>
        <w:t xml:space="preserve"> For example, under Dutch law, a company is regarded as having substance if it has a physical office, local directors, and </w:t>
      </w:r>
      <w:r w:rsidR="00C544C7" w:rsidRPr="00B90A24">
        <w:rPr>
          <w:rFonts w:eastAsia="Times New Roman" w:cs="Times New Roman"/>
          <w:sz w:val="28"/>
          <w:szCs w:val="28"/>
        </w:rPr>
        <w:t>annual salary costs of at least €</w:t>
      </w:r>
      <w:r w:rsidR="000C46C4" w:rsidRPr="00B90A24">
        <w:rPr>
          <w:rFonts w:eastAsia="Times New Roman" w:cs="Times New Roman"/>
          <w:sz w:val="28"/>
          <w:szCs w:val="28"/>
        </w:rPr>
        <w:t>100,000</w:t>
      </w:r>
      <w:r w:rsidR="00CF5035" w:rsidRPr="00B90A24">
        <w:rPr>
          <w:rFonts w:eastAsia="Times New Roman" w:cs="Times New Roman"/>
          <w:sz w:val="28"/>
          <w:szCs w:val="28"/>
        </w:rPr>
        <w:t xml:space="preserve"> </w:t>
      </w:r>
      <w:r w:rsidR="00CF5035" w:rsidRPr="00B90A24">
        <w:rPr>
          <w:rFonts w:eastAsia="Times New Roman" w:cs="Times New Roman"/>
          <w:sz w:val="28"/>
          <w:szCs w:val="28"/>
        </w:rPr>
        <w:fldChar w:fldCharType="begin"/>
      </w:r>
      <w:r w:rsidR="00B133DE" w:rsidRPr="00B90A24">
        <w:rPr>
          <w:rFonts w:eastAsia="Times New Roman" w:cs="Times New Roman"/>
          <w:sz w:val="28"/>
          <w:szCs w:val="28"/>
        </w:rPr>
        <w:instrText xml:space="preserve"> ADDIN ZOTERO_ITEM CSL_CITATION {"citationID":"afejct87nd","properties":{"formattedCitation":"(Ku &amp; Mulder, 2018)","plainCitation":"(Ku &amp; Mulder, 2018)","noteIndex":0},"citationItems":[{"id":"LppWUde1/4kRS2AH8","uris":["http://zotero.org/users/1521920/items/SXFRRGIB"],"uri":["http://zotero.org/users/1521920/items/SXFRRGIB"],"itemData":{"id":35441,"type":"post-weblog","abstract":"Jian-Cheng Ku and Tim Mulder of DLA Piper, Amsterdam, discuss new Dutch government proposals for a conditional withholding tax on royalties, interest, and dividends and increased substance requirements for Dutch holding, license, and financing companies . . .","container-title":"MNE Tax","language":"en-US","note":"source: mnetax.com","title":"Netherlands reveals plan for new withholding tax regime, increased substance requirements","URL":"https://mnetax.com/netherlands-reveals-plan-new-withholding-tax-regime-increased-substance-requirements-26384","author":[{"family":"Ku","given":"Jian-Cheng"},{"family":"Mulder","given":"Tim"}],"accessed":{"date-parts":[["2020",6,11]]},"issued":{"date-parts":[["2018",3,5]]}}}],"schema":"https://github.com/citation-style-language/schema/raw/master/csl-citation.json"} </w:instrText>
      </w:r>
      <w:r w:rsidR="00CF5035" w:rsidRPr="00B90A24">
        <w:rPr>
          <w:rFonts w:eastAsia="Times New Roman" w:cs="Times New Roman"/>
          <w:sz w:val="28"/>
          <w:szCs w:val="28"/>
        </w:rPr>
        <w:fldChar w:fldCharType="separate"/>
      </w:r>
      <w:r w:rsidR="00B133DE" w:rsidRPr="00B90A24">
        <w:rPr>
          <w:rFonts w:cs="Times New Roman"/>
          <w:sz w:val="28"/>
          <w:szCs w:val="28"/>
        </w:rPr>
        <w:t>(Ku &amp; Mulder, 2018)</w:t>
      </w:r>
      <w:r w:rsidR="00CF5035" w:rsidRPr="00B90A24">
        <w:rPr>
          <w:rFonts w:eastAsia="Times New Roman" w:cs="Times New Roman"/>
          <w:sz w:val="28"/>
          <w:szCs w:val="28"/>
        </w:rPr>
        <w:fldChar w:fldCharType="end"/>
      </w:r>
      <w:r w:rsidR="00954097" w:rsidRPr="00B90A24">
        <w:rPr>
          <w:rFonts w:eastAsia="Times New Roman" w:cs="Times New Roman"/>
          <w:sz w:val="28"/>
          <w:szCs w:val="28"/>
        </w:rPr>
        <w:t xml:space="preserve">, </w:t>
      </w:r>
      <w:r w:rsidR="00A83F9D" w:rsidRPr="00B90A24">
        <w:rPr>
          <w:rFonts w:eastAsia="Times New Roman" w:cs="Times New Roman"/>
          <w:sz w:val="28"/>
          <w:szCs w:val="28"/>
        </w:rPr>
        <w:t>enabling billions of profits to be attributed</w:t>
      </w:r>
      <w:r w:rsidR="000C46C4" w:rsidRPr="00B90A24">
        <w:rPr>
          <w:rFonts w:eastAsia="Times New Roman" w:cs="Times New Roman"/>
          <w:sz w:val="28"/>
          <w:szCs w:val="28"/>
        </w:rPr>
        <w:t>.</w:t>
      </w:r>
      <w:r w:rsidR="000C021E" w:rsidRPr="00B90A24">
        <w:rPr>
          <w:rFonts w:eastAsia="Times New Roman" w:cs="Times New Roman"/>
          <w:sz w:val="28"/>
          <w:szCs w:val="28"/>
        </w:rPr>
        <w:t xml:space="preserve"> </w:t>
      </w:r>
      <w:r w:rsidR="005E6776" w:rsidRPr="00B90A24">
        <w:rPr>
          <w:rFonts w:eastAsia="Times New Roman" w:cs="Times New Roman"/>
          <w:sz w:val="28"/>
          <w:szCs w:val="28"/>
        </w:rPr>
        <w:t xml:space="preserve">Another flaw of the Action 5 framework consists in </w:t>
      </w:r>
      <w:r w:rsidR="00D14278" w:rsidRPr="00B90A24">
        <w:rPr>
          <w:rFonts w:eastAsia="Times New Roman" w:cs="Times New Roman"/>
          <w:sz w:val="28"/>
          <w:szCs w:val="28"/>
        </w:rPr>
        <w:t>weakness</w:t>
      </w:r>
      <w:r w:rsidR="003B4C5C" w:rsidRPr="00B90A24">
        <w:rPr>
          <w:rFonts w:eastAsia="Times New Roman" w:cs="Times New Roman"/>
          <w:sz w:val="28"/>
          <w:szCs w:val="28"/>
        </w:rPr>
        <w:t>es</w:t>
      </w:r>
      <w:r w:rsidR="00D14278" w:rsidRPr="00B90A24">
        <w:rPr>
          <w:rFonts w:eastAsia="Times New Roman" w:cs="Times New Roman"/>
          <w:sz w:val="28"/>
          <w:szCs w:val="28"/>
        </w:rPr>
        <w:t xml:space="preserve"> </w:t>
      </w:r>
      <w:r w:rsidR="003B4C5C" w:rsidRPr="00B90A24">
        <w:rPr>
          <w:rFonts w:eastAsia="Times New Roman" w:cs="Times New Roman"/>
          <w:sz w:val="28"/>
          <w:szCs w:val="28"/>
        </w:rPr>
        <w:t xml:space="preserve">in </w:t>
      </w:r>
      <w:r w:rsidR="00D14278" w:rsidRPr="00B90A24">
        <w:rPr>
          <w:rFonts w:eastAsia="Times New Roman" w:cs="Times New Roman"/>
          <w:sz w:val="28"/>
          <w:szCs w:val="28"/>
        </w:rPr>
        <w:t xml:space="preserve">its </w:t>
      </w:r>
      <w:r w:rsidR="00417D98" w:rsidRPr="00B90A24">
        <w:rPr>
          <w:sz w:val="28"/>
          <w:szCs w:val="28"/>
        </w:rPr>
        <w:t>ring fenc</w:t>
      </w:r>
      <w:r w:rsidR="003B4C5C" w:rsidRPr="00B90A24">
        <w:rPr>
          <w:sz w:val="28"/>
          <w:szCs w:val="28"/>
        </w:rPr>
        <w:t xml:space="preserve">ing approach </w:t>
      </w:r>
      <w:r w:rsidR="00E97C18" w:rsidRPr="00B90A24">
        <w:rPr>
          <w:sz w:val="28"/>
          <w:szCs w:val="28"/>
        </w:rPr>
        <w:t xml:space="preserve">by </w:t>
      </w:r>
      <w:r w:rsidR="00EA3599" w:rsidRPr="00B90A24">
        <w:rPr>
          <w:sz w:val="28"/>
          <w:szCs w:val="28"/>
        </w:rPr>
        <w:t>condon</w:t>
      </w:r>
      <w:r w:rsidR="00E97C18" w:rsidRPr="00B90A24">
        <w:rPr>
          <w:sz w:val="28"/>
          <w:szCs w:val="28"/>
        </w:rPr>
        <w:t>ing</w:t>
      </w:r>
      <w:r w:rsidR="00EA3599" w:rsidRPr="00B90A24">
        <w:rPr>
          <w:sz w:val="28"/>
          <w:szCs w:val="28"/>
        </w:rPr>
        <w:t xml:space="preserve"> </w:t>
      </w:r>
      <w:r w:rsidR="00CE7C88" w:rsidRPr="00B90A24">
        <w:rPr>
          <w:sz w:val="28"/>
          <w:szCs w:val="28"/>
        </w:rPr>
        <w:t xml:space="preserve">broad </w:t>
      </w:r>
      <w:r w:rsidR="0042548E" w:rsidRPr="00B90A24">
        <w:rPr>
          <w:sz w:val="28"/>
          <w:szCs w:val="28"/>
        </w:rPr>
        <w:t>exemption</w:t>
      </w:r>
      <w:r w:rsidR="00E67B47" w:rsidRPr="00B90A24">
        <w:rPr>
          <w:sz w:val="28"/>
          <w:szCs w:val="28"/>
        </w:rPr>
        <w:t>s</w:t>
      </w:r>
      <w:r w:rsidR="002C4C2C" w:rsidRPr="00B90A24">
        <w:rPr>
          <w:sz w:val="28"/>
          <w:szCs w:val="28"/>
        </w:rPr>
        <w:t xml:space="preserve"> </w:t>
      </w:r>
      <w:r w:rsidR="00F445DD" w:rsidRPr="00B90A24">
        <w:rPr>
          <w:sz w:val="28"/>
          <w:szCs w:val="28"/>
        </w:rPr>
        <w:t>or</w:t>
      </w:r>
      <w:r w:rsidR="002C4C2C" w:rsidRPr="00B90A24">
        <w:rPr>
          <w:sz w:val="28"/>
          <w:szCs w:val="28"/>
        </w:rPr>
        <w:t xml:space="preserve"> </w:t>
      </w:r>
      <w:r w:rsidR="0005306F" w:rsidRPr="00B90A24">
        <w:rPr>
          <w:sz w:val="28"/>
          <w:szCs w:val="28"/>
        </w:rPr>
        <w:t xml:space="preserve">low tax </w:t>
      </w:r>
      <w:r w:rsidR="00F445DD" w:rsidRPr="00B90A24">
        <w:rPr>
          <w:sz w:val="28"/>
          <w:szCs w:val="28"/>
        </w:rPr>
        <w:t>for</w:t>
      </w:r>
      <w:r w:rsidR="0005306F" w:rsidRPr="00B90A24">
        <w:rPr>
          <w:sz w:val="28"/>
          <w:szCs w:val="28"/>
        </w:rPr>
        <w:t xml:space="preserve"> </w:t>
      </w:r>
      <w:r w:rsidR="00CE7C88" w:rsidRPr="00B90A24">
        <w:rPr>
          <w:sz w:val="28"/>
          <w:szCs w:val="28"/>
        </w:rPr>
        <w:t xml:space="preserve">all </w:t>
      </w:r>
      <w:r w:rsidR="0005306F" w:rsidRPr="00B90A24">
        <w:rPr>
          <w:sz w:val="28"/>
          <w:szCs w:val="28"/>
        </w:rPr>
        <w:t>foreign source income</w:t>
      </w:r>
      <w:r w:rsidR="00E67B47" w:rsidRPr="00B90A24">
        <w:rPr>
          <w:sz w:val="28"/>
          <w:szCs w:val="28"/>
        </w:rPr>
        <w:t xml:space="preserve"> in territorial tax systems </w:t>
      </w:r>
      <w:r w:rsidR="00A33EA3" w:rsidRPr="00B90A24">
        <w:rPr>
          <w:sz w:val="28"/>
          <w:szCs w:val="28"/>
        </w:rPr>
        <w:fldChar w:fldCharType="begin"/>
      </w:r>
      <w:r w:rsidR="00A06D6C" w:rsidRPr="00B90A24">
        <w:rPr>
          <w:sz w:val="28"/>
          <w:szCs w:val="28"/>
        </w:rPr>
        <w:instrText xml:space="preserve"> ADDIN ZOTERO_ITEM CSL_CITATION {"citationID":"a2gshlu2vt3","properties":{"formattedCitation":"(OECD, 2019a, pp. 38\\uc0\\u8211{}39)","plainCitation":"(OECD, 2019a, pp. 38–39)","noteIndex":0},"citationItems":[{"id":4108,"uris":["http://zotero.org/groups/997303/items/IZLTA8QI"],"uri":["http://zotero.org/groups/997303/items/IZLTA8QI"],"itemData":{"id":4108,"type":"report","genre":"OECD/G20 Base Erosion and Profit Shifting Project","title":"Harmful Tax Practices ‑ 2018 Progress Report on Preferential Regimes: Inclusive Framework on BEPS: Action 5","URL":"https://doi.org/10.1787/9789264311480-en","author":[{"family":"OECD","given":""}],"accessed":{"date-parts":[["2019",5,20]]},"issued":{"date-parts":[["2019"]]}},"locator":"38-39"}],"schema":"https://github.com/citation-style-language/schema/raw/master/csl-citation.json"} </w:instrText>
      </w:r>
      <w:r w:rsidR="00A33EA3" w:rsidRPr="00B90A24">
        <w:rPr>
          <w:sz w:val="28"/>
          <w:szCs w:val="28"/>
        </w:rPr>
        <w:fldChar w:fldCharType="separate"/>
      </w:r>
      <w:r w:rsidR="00B133DE" w:rsidRPr="00B90A24">
        <w:rPr>
          <w:rFonts w:cs="Times New Roman"/>
          <w:sz w:val="28"/>
          <w:szCs w:val="28"/>
        </w:rPr>
        <w:t>(OECD, 2019a, pp. 38–39)</w:t>
      </w:r>
      <w:r w:rsidR="00A33EA3" w:rsidRPr="00B90A24">
        <w:rPr>
          <w:sz w:val="28"/>
          <w:szCs w:val="28"/>
        </w:rPr>
        <w:fldChar w:fldCharType="end"/>
      </w:r>
      <w:r w:rsidR="00685478" w:rsidRPr="00B90A24">
        <w:rPr>
          <w:sz w:val="28"/>
          <w:szCs w:val="28"/>
        </w:rPr>
        <w:t xml:space="preserve">. For example, the </w:t>
      </w:r>
      <w:r w:rsidR="004767CD" w:rsidRPr="00B90A24">
        <w:rPr>
          <w:sz w:val="28"/>
          <w:szCs w:val="28"/>
        </w:rPr>
        <w:t xml:space="preserve">risks arising from </w:t>
      </w:r>
      <w:r w:rsidR="00D87B22" w:rsidRPr="00B90A24">
        <w:rPr>
          <w:sz w:val="28"/>
          <w:szCs w:val="28"/>
        </w:rPr>
        <w:t xml:space="preserve">territorial tax systems </w:t>
      </w:r>
      <w:r w:rsidR="004767CD" w:rsidRPr="00B90A24">
        <w:rPr>
          <w:sz w:val="28"/>
          <w:szCs w:val="28"/>
        </w:rPr>
        <w:t xml:space="preserve">in </w:t>
      </w:r>
      <w:r w:rsidR="00DA4933" w:rsidRPr="00B90A24">
        <w:rPr>
          <w:sz w:val="28"/>
          <w:szCs w:val="28"/>
        </w:rPr>
        <w:t xml:space="preserve">Gibraltar, </w:t>
      </w:r>
      <w:r w:rsidR="00E15DF7" w:rsidRPr="00B90A24">
        <w:rPr>
          <w:sz w:val="28"/>
          <w:szCs w:val="28"/>
        </w:rPr>
        <w:t xml:space="preserve">Hong Kong, </w:t>
      </w:r>
      <w:r w:rsidR="004767CD" w:rsidRPr="00B90A24">
        <w:rPr>
          <w:sz w:val="28"/>
          <w:szCs w:val="28"/>
        </w:rPr>
        <w:t xml:space="preserve">Panama and </w:t>
      </w:r>
      <w:r w:rsidR="00D87B22" w:rsidRPr="00B90A24">
        <w:rPr>
          <w:sz w:val="28"/>
          <w:szCs w:val="28"/>
        </w:rPr>
        <w:t xml:space="preserve">Singapore </w:t>
      </w:r>
      <w:r w:rsidR="004767CD" w:rsidRPr="00B90A24">
        <w:rPr>
          <w:sz w:val="28"/>
          <w:szCs w:val="28"/>
        </w:rPr>
        <w:t>are ignored.</w:t>
      </w:r>
      <w:r w:rsidR="004767CD" w:rsidRPr="00B90A24" w:rsidDel="00903E4D">
        <w:rPr>
          <w:rStyle w:val="CommentReference"/>
          <w:sz w:val="28"/>
          <w:szCs w:val="28"/>
        </w:rPr>
        <w:t xml:space="preserve"> </w:t>
      </w:r>
    </w:p>
    <w:p w14:paraId="647B5C29" w14:textId="77777777" w:rsidR="00A9558A" w:rsidRPr="00B90A24" w:rsidRDefault="00A9558A" w:rsidP="00B90A24">
      <w:pPr>
        <w:spacing w:after="0" w:line="240" w:lineRule="auto"/>
        <w:ind w:left="567" w:right="1031"/>
        <w:jc w:val="both"/>
        <w:rPr>
          <w:sz w:val="28"/>
          <w:szCs w:val="28"/>
        </w:rPr>
      </w:pPr>
    </w:p>
    <w:p w14:paraId="44E69575" w14:textId="6A59195D" w:rsidR="00691B5B" w:rsidRDefault="004767CD" w:rsidP="00B90A24">
      <w:pPr>
        <w:spacing w:after="0" w:line="240" w:lineRule="auto"/>
        <w:ind w:left="567" w:right="1031"/>
        <w:jc w:val="both"/>
        <w:rPr>
          <w:sz w:val="28"/>
          <w:szCs w:val="28"/>
        </w:rPr>
      </w:pPr>
      <w:r w:rsidRPr="00B90A24">
        <w:rPr>
          <w:sz w:val="28"/>
          <w:szCs w:val="28"/>
        </w:rPr>
        <w:t xml:space="preserve">The Corporate Tax Haven Index </w:t>
      </w:r>
      <w:r w:rsidR="007769B4" w:rsidRPr="00B90A24">
        <w:rPr>
          <w:sz w:val="28"/>
          <w:szCs w:val="28"/>
        </w:rPr>
        <w:t>overcomes</w:t>
      </w:r>
      <w:r w:rsidRPr="00B90A24">
        <w:rPr>
          <w:sz w:val="28"/>
          <w:szCs w:val="28"/>
        </w:rPr>
        <w:t xml:space="preserve"> these flaws </w:t>
      </w:r>
      <w:r w:rsidR="007769B4" w:rsidRPr="00B90A24">
        <w:rPr>
          <w:sz w:val="28"/>
          <w:szCs w:val="28"/>
        </w:rPr>
        <w:t xml:space="preserve">of Action 5 </w:t>
      </w:r>
      <w:r w:rsidRPr="00B90A24">
        <w:rPr>
          <w:sz w:val="28"/>
          <w:szCs w:val="28"/>
        </w:rPr>
        <w:t xml:space="preserve">and </w:t>
      </w:r>
      <w:r w:rsidR="00FA6BD1" w:rsidRPr="00B90A24">
        <w:rPr>
          <w:sz w:val="28"/>
          <w:szCs w:val="28"/>
        </w:rPr>
        <w:t>establishes more robust and demanding criteria</w:t>
      </w:r>
      <w:r w:rsidR="00AA1F5A" w:rsidRPr="00B90A24">
        <w:rPr>
          <w:sz w:val="28"/>
          <w:szCs w:val="28"/>
        </w:rPr>
        <w:t xml:space="preserve"> for the indicators that </w:t>
      </w:r>
      <w:r w:rsidR="00BF255B" w:rsidRPr="00B90A24">
        <w:rPr>
          <w:sz w:val="28"/>
          <w:szCs w:val="28"/>
        </w:rPr>
        <w:t>form</w:t>
      </w:r>
      <w:r w:rsidR="00AA1F5A" w:rsidRPr="00B90A24">
        <w:rPr>
          <w:sz w:val="28"/>
          <w:szCs w:val="28"/>
        </w:rPr>
        <w:t xml:space="preserve"> the haven score</w:t>
      </w:r>
      <w:r w:rsidR="00F445DD" w:rsidRPr="00B90A24">
        <w:rPr>
          <w:sz w:val="28"/>
          <w:szCs w:val="28"/>
        </w:rPr>
        <w:t xml:space="preserve">. It </w:t>
      </w:r>
      <w:r w:rsidR="00FA6BD1" w:rsidRPr="00B90A24">
        <w:rPr>
          <w:sz w:val="28"/>
          <w:szCs w:val="28"/>
        </w:rPr>
        <w:t>ack</w:t>
      </w:r>
      <w:r w:rsidR="007769B4" w:rsidRPr="00B90A24">
        <w:rPr>
          <w:sz w:val="28"/>
          <w:szCs w:val="28"/>
        </w:rPr>
        <w:t>n</w:t>
      </w:r>
      <w:r w:rsidR="00FA6BD1" w:rsidRPr="00B90A24">
        <w:rPr>
          <w:sz w:val="28"/>
          <w:szCs w:val="28"/>
        </w:rPr>
        <w:t>owledg</w:t>
      </w:r>
      <w:r w:rsidR="00F445DD" w:rsidRPr="00B90A24">
        <w:rPr>
          <w:sz w:val="28"/>
          <w:szCs w:val="28"/>
        </w:rPr>
        <w:t>es</w:t>
      </w:r>
      <w:r w:rsidR="00FA6BD1" w:rsidRPr="00B90A24">
        <w:rPr>
          <w:sz w:val="28"/>
          <w:szCs w:val="28"/>
        </w:rPr>
        <w:t xml:space="preserve"> that any zero or low tax </w:t>
      </w:r>
      <w:r w:rsidR="007769B4" w:rsidRPr="00B90A24">
        <w:rPr>
          <w:sz w:val="28"/>
          <w:szCs w:val="28"/>
        </w:rPr>
        <w:t xml:space="preserve">system </w:t>
      </w:r>
      <w:r w:rsidR="00FA6BD1" w:rsidRPr="00B90A24">
        <w:rPr>
          <w:sz w:val="28"/>
          <w:szCs w:val="28"/>
        </w:rPr>
        <w:t>can result in tax spillovers and base erosion and profit shifting as long as transfer pricing</w:t>
      </w:r>
      <w:r w:rsidR="00B345C6" w:rsidRPr="00B90A24">
        <w:rPr>
          <w:sz w:val="28"/>
          <w:szCs w:val="28"/>
        </w:rPr>
        <w:t xml:space="preserve"> is used for attributing profits</w:t>
      </w:r>
      <w:r w:rsidR="00FB7674" w:rsidRPr="00B90A24">
        <w:rPr>
          <w:sz w:val="28"/>
          <w:szCs w:val="28"/>
        </w:rPr>
        <w:t xml:space="preserve"> between related parties</w:t>
      </w:r>
      <w:r w:rsidR="00FA6BD1" w:rsidRPr="00B90A24">
        <w:rPr>
          <w:sz w:val="28"/>
          <w:szCs w:val="28"/>
        </w:rPr>
        <w:t>.</w:t>
      </w:r>
      <w:r w:rsidR="00A9558A" w:rsidRPr="00B90A24">
        <w:rPr>
          <w:sz w:val="28"/>
          <w:szCs w:val="28"/>
        </w:rPr>
        <w:t xml:space="preserve"> </w:t>
      </w:r>
      <w:r w:rsidR="00AF60AC" w:rsidRPr="00B90A24">
        <w:rPr>
          <w:sz w:val="28"/>
          <w:szCs w:val="28"/>
        </w:rPr>
        <w:t>To calculate the Corporate Tax Haven Index value,</w:t>
      </w:r>
      <w:r w:rsidR="00AD4925" w:rsidRPr="00B90A24">
        <w:rPr>
          <w:sz w:val="28"/>
          <w:szCs w:val="28"/>
        </w:rPr>
        <w:t xml:space="preserve"> which is the actual risk of a jurisdiction becoming a destination for profit shifting,</w:t>
      </w:r>
      <w:r w:rsidR="00AF60AC" w:rsidRPr="00B90A24">
        <w:rPr>
          <w:sz w:val="28"/>
          <w:szCs w:val="28"/>
        </w:rPr>
        <w:t xml:space="preserve"> the cube of the haven score is multiplied by the cube root of the global</w:t>
      </w:r>
      <w:r w:rsidR="008249CD" w:rsidRPr="00B90A24">
        <w:rPr>
          <w:sz w:val="28"/>
          <w:szCs w:val="28"/>
        </w:rPr>
        <w:t xml:space="preserve"> scale weight</w:t>
      </w:r>
      <w:r w:rsidR="00AF60AC" w:rsidRPr="00B90A24">
        <w:rPr>
          <w:sz w:val="28"/>
          <w:szCs w:val="28"/>
        </w:rPr>
        <w:t>.</w:t>
      </w:r>
      <w:r w:rsidR="0082435C" w:rsidRPr="00B90A24">
        <w:rPr>
          <w:rStyle w:val="FootnoteReference"/>
          <w:sz w:val="28"/>
          <w:szCs w:val="28"/>
        </w:rPr>
        <w:footnoteReference w:id="6"/>
      </w:r>
      <w:r w:rsidR="00AF60AC" w:rsidRPr="00B90A24">
        <w:rPr>
          <w:sz w:val="28"/>
          <w:szCs w:val="28"/>
        </w:rPr>
        <w:t xml:space="preserve"> Jurisdictions are ranked based on this value. The </w:t>
      </w:r>
      <w:r w:rsidR="00F445DD" w:rsidRPr="00B90A24">
        <w:rPr>
          <w:sz w:val="28"/>
          <w:szCs w:val="28"/>
        </w:rPr>
        <w:t xml:space="preserve">highest ranked </w:t>
      </w:r>
      <w:r w:rsidR="00AF60AC" w:rsidRPr="00B90A24">
        <w:rPr>
          <w:sz w:val="28"/>
          <w:szCs w:val="28"/>
        </w:rPr>
        <w:t>jurisdictions ranked are those “that contribute most to: (i) the global race to the bottom in corporate taxation; (ii) the erosion of corporate income taxes globally; and (iii) constraining the tax policy space elsewhere”</w:t>
      </w:r>
      <w:r w:rsidR="002A4AC6" w:rsidRPr="00B90A24">
        <w:rPr>
          <w:sz w:val="28"/>
          <w:szCs w:val="28"/>
        </w:rPr>
        <w:t xml:space="preserve"> </w:t>
      </w:r>
      <w:r w:rsidR="00AF60AC" w:rsidRPr="00B90A24">
        <w:rPr>
          <w:sz w:val="28"/>
          <w:szCs w:val="28"/>
        </w:rPr>
        <w:fldChar w:fldCharType="begin"/>
      </w:r>
      <w:r w:rsidR="00A06D6C" w:rsidRPr="00B90A24">
        <w:rPr>
          <w:sz w:val="28"/>
          <w:szCs w:val="28"/>
        </w:rPr>
        <w:instrText xml:space="preserve"> ADDIN ZOTERO_ITEM CSL_CITATION {"citationID":"1GWqEpnX","properties":{"formattedCitation":"(Tax Justice Network, 2019c, p. 5)","plainCitation":"(Tax Justice Network, 2019c, p. 5)","noteIndex":0},"citationItems":[{"id":4234,"uris":["http://zotero.org/groups/997303/items/3QY3BQG9"],"uri":["http://zotero.org/groups/997303/items/3QY3BQG9"],"itemData":{"id":4234,"type":"report","title":"Corporate Tax Haven Index (CTHI) 2019 Methodology","URL":"https://www.corporatetaxhavenindex.org/PDF/CTHI-Methodology.pdf","author":[{"family":"Tax Justice Network","given":""}],"accessed":{"date-parts":[["2019",6,4]]},"issued":{"date-parts":[["2019"]]}},"locator":"5"}],"schema":"https://github.com/citation-style-language/schema/raw/master/csl-citation.json"} </w:instrText>
      </w:r>
      <w:r w:rsidR="00AF60AC" w:rsidRPr="00B90A24">
        <w:rPr>
          <w:sz w:val="28"/>
          <w:szCs w:val="28"/>
        </w:rPr>
        <w:fldChar w:fldCharType="separate"/>
      </w:r>
      <w:r w:rsidR="00B133DE" w:rsidRPr="00B90A24">
        <w:rPr>
          <w:rFonts w:cs="Times New Roman"/>
          <w:sz w:val="28"/>
          <w:szCs w:val="28"/>
        </w:rPr>
        <w:t>(Tax Justice Network, 2019c, p. 5)</w:t>
      </w:r>
      <w:r w:rsidR="00AF60AC" w:rsidRPr="00B90A24">
        <w:rPr>
          <w:sz w:val="28"/>
          <w:szCs w:val="28"/>
        </w:rPr>
        <w:fldChar w:fldCharType="end"/>
      </w:r>
      <w:r w:rsidR="002A4AC6" w:rsidRPr="00B90A24">
        <w:rPr>
          <w:sz w:val="28"/>
          <w:szCs w:val="28"/>
        </w:rPr>
        <w:t>.</w:t>
      </w:r>
      <w:r w:rsidR="003430EA" w:rsidRPr="00B90A24">
        <w:rPr>
          <w:sz w:val="28"/>
          <w:szCs w:val="28"/>
        </w:rPr>
        <w:t xml:space="preserve"> </w:t>
      </w:r>
      <w:r w:rsidR="00AF60AC" w:rsidRPr="00B90A24">
        <w:rPr>
          <w:sz w:val="28"/>
          <w:szCs w:val="28"/>
        </w:rPr>
        <w:t xml:space="preserve">When presented in tables and figures, the </w:t>
      </w:r>
      <w:r w:rsidR="00AF60AC" w:rsidRPr="00B90A24">
        <w:rPr>
          <w:sz w:val="28"/>
          <w:szCs w:val="28"/>
        </w:rPr>
        <w:lastRenderedPageBreak/>
        <w:t xml:space="preserve">haven scores of the jurisdictions follow the colour codes described in </w:t>
      </w:r>
      <w:r w:rsidR="00B90A24" w:rsidRPr="00B90A24">
        <w:rPr>
          <w:sz w:val="28"/>
          <w:szCs w:val="28"/>
        </w:rPr>
        <w:fldChar w:fldCharType="begin"/>
      </w:r>
      <w:r w:rsidR="00B90A24" w:rsidRPr="00B90A24">
        <w:rPr>
          <w:sz w:val="28"/>
          <w:szCs w:val="28"/>
        </w:rPr>
        <w:instrText xml:space="preserve"> REF _Ref10816587  \* MERGEFORMAT </w:instrText>
      </w:r>
      <w:r w:rsidR="00B90A24" w:rsidRPr="00B90A24">
        <w:rPr>
          <w:sz w:val="28"/>
          <w:szCs w:val="28"/>
        </w:rPr>
        <w:fldChar w:fldCharType="separate"/>
      </w:r>
      <w:r w:rsidR="00AF60AC" w:rsidRPr="00B90A24">
        <w:rPr>
          <w:sz w:val="28"/>
          <w:szCs w:val="28"/>
        </w:rPr>
        <w:t xml:space="preserve">Figure </w:t>
      </w:r>
      <w:r w:rsidR="00AF60AC" w:rsidRPr="00B90A24">
        <w:rPr>
          <w:noProof/>
          <w:sz w:val="28"/>
          <w:szCs w:val="28"/>
        </w:rPr>
        <w:t>2</w:t>
      </w:r>
      <w:r w:rsidR="00B90A24" w:rsidRPr="00B90A24">
        <w:rPr>
          <w:noProof/>
          <w:sz w:val="28"/>
          <w:szCs w:val="28"/>
        </w:rPr>
        <w:fldChar w:fldCharType="end"/>
      </w:r>
      <w:r w:rsidR="002132E8" w:rsidRPr="00B90A24">
        <w:rPr>
          <w:noProof/>
          <w:sz w:val="28"/>
          <w:szCs w:val="28"/>
        </w:rPr>
        <w:t xml:space="preserve"> below</w:t>
      </w:r>
      <w:r w:rsidR="00AF60AC" w:rsidRPr="00B90A24">
        <w:rPr>
          <w:sz w:val="28"/>
          <w:szCs w:val="28"/>
        </w:rPr>
        <w:t>.</w:t>
      </w:r>
    </w:p>
    <w:p w14:paraId="772EFAA5" w14:textId="77777777" w:rsidR="00B90A24" w:rsidRPr="00B90A24" w:rsidRDefault="00B90A24" w:rsidP="00B90A24">
      <w:pPr>
        <w:spacing w:after="0" w:line="240" w:lineRule="auto"/>
        <w:ind w:left="567" w:right="1031"/>
        <w:jc w:val="both"/>
        <w:rPr>
          <w:sz w:val="28"/>
          <w:szCs w:val="28"/>
        </w:rPr>
      </w:pPr>
    </w:p>
    <w:tbl>
      <w:tblPr>
        <w:tblpPr w:leftFromText="180" w:rightFromText="180" w:vertAnchor="text" w:horzAnchor="margin" w:tblpXSpec="center" w:tblpY="190"/>
        <w:tblW w:w="8917" w:type="dxa"/>
        <w:tblLook w:val="04A0" w:firstRow="1" w:lastRow="0" w:firstColumn="1" w:lastColumn="0" w:noHBand="0" w:noVBand="1"/>
      </w:tblPr>
      <w:tblGrid>
        <w:gridCol w:w="1511"/>
        <w:gridCol w:w="1490"/>
        <w:gridCol w:w="1490"/>
        <w:gridCol w:w="1428"/>
        <w:gridCol w:w="1490"/>
        <w:gridCol w:w="1508"/>
      </w:tblGrid>
      <w:tr w:rsidR="003430EA" w:rsidRPr="00B90A24" w14:paraId="789B8EDA" w14:textId="77777777" w:rsidTr="00C5141D">
        <w:trPr>
          <w:trHeight w:val="830"/>
        </w:trPr>
        <w:tc>
          <w:tcPr>
            <w:tcW w:w="1511" w:type="dxa"/>
            <w:tcBorders>
              <w:top w:val="single" w:sz="4" w:space="0" w:color="auto"/>
              <w:left w:val="single" w:sz="4" w:space="0" w:color="auto"/>
              <w:bottom w:val="single" w:sz="4" w:space="0" w:color="auto"/>
              <w:right w:val="single" w:sz="4" w:space="0" w:color="auto"/>
            </w:tcBorders>
            <w:shd w:val="clear" w:color="000000" w:fill="C00000"/>
            <w:vAlign w:val="center"/>
            <w:hideMark/>
          </w:tcPr>
          <w:p w14:paraId="6DA35126" w14:textId="77777777" w:rsidR="003430EA" w:rsidRPr="00B90A24" w:rsidRDefault="003430EA" w:rsidP="00B90A24">
            <w:pPr>
              <w:spacing w:after="0" w:line="240" w:lineRule="auto"/>
              <w:ind w:left="-117" w:right="42"/>
              <w:jc w:val="center"/>
              <w:rPr>
                <w:rFonts w:eastAsia="Times New Roman" w:cs="Times New Roman"/>
                <w:sz w:val="28"/>
                <w:szCs w:val="28"/>
                <w:lang w:eastAsia="en-GB"/>
              </w:rPr>
            </w:pPr>
            <w:r w:rsidRPr="00B90A24">
              <w:rPr>
                <w:rFonts w:eastAsia="Times New Roman" w:cs="Times New Roman"/>
                <w:sz w:val="28"/>
                <w:szCs w:val="28"/>
                <w:lang w:eastAsia="en-GB"/>
              </w:rPr>
              <w:t>Maximum Risk</w:t>
            </w:r>
            <w:r w:rsidRPr="00B90A24">
              <w:rPr>
                <w:rFonts w:eastAsia="Times New Roman" w:cs="Times New Roman"/>
                <w:sz w:val="28"/>
                <w:szCs w:val="28"/>
                <w:lang w:eastAsia="en-GB"/>
              </w:rPr>
              <w:br/>
              <w:t>Haven Score 100</w:t>
            </w:r>
          </w:p>
        </w:tc>
        <w:tc>
          <w:tcPr>
            <w:tcW w:w="1490" w:type="dxa"/>
            <w:tcBorders>
              <w:top w:val="single" w:sz="4" w:space="0" w:color="auto"/>
              <w:left w:val="nil"/>
              <w:bottom w:val="single" w:sz="4" w:space="0" w:color="auto"/>
              <w:right w:val="single" w:sz="4" w:space="0" w:color="auto"/>
            </w:tcBorders>
            <w:shd w:val="clear" w:color="000000" w:fill="EC7524"/>
            <w:vAlign w:val="center"/>
            <w:hideMark/>
          </w:tcPr>
          <w:p w14:paraId="2D6CFDF7" w14:textId="77777777" w:rsidR="003430EA" w:rsidRPr="00B90A24" w:rsidRDefault="003430EA"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Haven Score</w:t>
            </w:r>
            <w:r w:rsidRPr="00B90A24">
              <w:rPr>
                <w:rFonts w:eastAsia="Times New Roman" w:cs="Times New Roman"/>
                <w:sz w:val="28"/>
                <w:szCs w:val="28"/>
                <w:lang w:eastAsia="en-GB"/>
              </w:rPr>
              <w:br/>
              <w:t>76 – 99</w:t>
            </w:r>
          </w:p>
        </w:tc>
        <w:tc>
          <w:tcPr>
            <w:tcW w:w="1490" w:type="dxa"/>
            <w:tcBorders>
              <w:top w:val="single" w:sz="4" w:space="0" w:color="auto"/>
              <w:left w:val="nil"/>
              <w:bottom w:val="single" w:sz="4" w:space="0" w:color="auto"/>
              <w:right w:val="single" w:sz="4" w:space="0" w:color="auto"/>
            </w:tcBorders>
            <w:shd w:val="clear" w:color="000000" w:fill="FCAF32"/>
            <w:vAlign w:val="center"/>
            <w:hideMark/>
          </w:tcPr>
          <w:p w14:paraId="4957BA95" w14:textId="77777777" w:rsidR="003430EA" w:rsidRPr="00B90A24" w:rsidRDefault="003430EA"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Haven Score</w:t>
            </w:r>
            <w:r w:rsidRPr="00B90A24">
              <w:rPr>
                <w:rFonts w:eastAsia="Times New Roman" w:cs="Times New Roman"/>
                <w:sz w:val="28"/>
                <w:szCs w:val="28"/>
                <w:lang w:eastAsia="en-GB"/>
              </w:rPr>
              <w:br/>
              <w:t>51 – 75</w:t>
            </w:r>
          </w:p>
        </w:tc>
        <w:tc>
          <w:tcPr>
            <w:tcW w:w="1428" w:type="dxa"/>
            <w:tcBorders>
              <w:top w:val="single" w:sz="4" w:space="0" w:color="auto"/>
              <w:left w:val="nil"/>
              <w:bottom w:val="single" w:sz="4" w:space="0" w:color="auto"/>
              <w:right w:val="single" w:sz="4" w:space="0" w:color="auto"/>
            </w:tcBorders>
            <w:shd w:val="clear" w:color="000000" w:fill="EBE60B"/>
            <w:vAlign w:val="center"/>
            <w:hideMark/>
          </w:tcPr>
          <w:p w14:paraId="459DB567" w14:textId="77777777" w:rsidR="003430EA" w:rsidRPr="00B90A24" w:rsidRDefault="003430EA"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 xml:space="preserve">Haven Score </w:t>
            </w:r>
            <w:r w:rsidRPr="00B90A24">
              <w:rPr>
                <w:rFonts w:eastAsia="Times New Roman" w:cs="Times New Roman"/>
                <w:sz w:val="28"/>
                <w:szCs w:val="28"/>
                <w:lang w:eastAsia="en-GB"/>
              </w:rPr>
              <w:br/>
              <w:t>26 – 50</w:t>
            </w:r>
          </w:p>
        </w:tc>
        <w:tc>
          <w:tcPr>
            <w:tcW w:w="1490" w:type="dxa"/>
            <w:tcBorders>
              <w:top w:val="single" w:sz="4" w:space="0" w:color="auto"/>
              <w:left w:val="nil"/>
              <w:bottom w:val="single" w:sz="4" w:space="0" w:color="auto"/>
              <w:right w:val="single" w:sz="4" w:space="0" w:color="auto"/>
            </w:tcBorders>
            <w:shd w:val="clear" w:color="000000" w:fill="8FBF49"/>
            <w:vAlign w:val="center"/>
            <w:hideMark/>
          </w:tcPr>
          <w:p w14:paraId="4E451100" w14:textId="77777777" w:rsidR="003430EA" w:rsidRPr="00B90A24" w:rsidRDefault="003430EA"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Haven Score</w:t>
            </w:r>
            <w:r w:rsidRPr="00B90A24">
              <w:rPr>
                <w:rFonts w:eastAsia="Times New Roman" w:cs="Times New Roman"/>
                <w:sz w:val="28"/>
                <w:szCs w:val="28"/>
                <w:lang w:eastAsia="en-GB"/>
              </w:rPr>
              <w:br/>
              <w:t>1 – 25</w:t>
            </w:r>
          </w:p>
        </w:tc>
        <w:tc>
          <w:tcPr>
            <w:tcW w:w="1508" w:type="dxa"/>
            <w:tcBorders>
              <w:top w:val="single" w:sz="4" w:space="0" w:color="auto"/>
              <w:left w:val="nil"/>
              <w:bottom w:val="single" w:sz="4" w:space="0" w:color="auto"/>
              <w:right w:val="single" w:sz="4" w:space="0" w:color="auto"/>
            </w:tcBorders>
            <w:shd w:val="clear" w:color="000000" w:fill="5E913B"/>
            <w:vAlign w:val="center"/>
            <w:hideMark/>
          </w:tcPr>
          <w:p w14:paraId="4AAA0C02" w14:textId="77777777" w:rsidR="003430EA" w:rsidRPr="00B90A24" w:rsidRDefault="003430EA"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Minimum Risk</w:t>
            </w:r>
            <w:r w:rsidRPr="00B90A24">
              <w:rPr>
                <w:rFonts w:eastAsia="Times New Roman" w:cs="Times New Roman"/>
                <w:sz w:val="28"/>
                <w:szCs w:val="28"/>
                <w:lang w:eastAsia="en-GB"/>
              </w:rPr>
              <w:br/>
              <w:t>Haven Score 0</w:t>
            </w:r>
          </w:p>
        </w:tc>
      </w:tr>
    </w:tbl>
    <w:p w14:paraId="0F8D0915" w14:textId="77777777" w:rsidR="00A9558A" w:rsidRPr="00B90A24" w:rsidRDefault="00A9558A" w:rsidP="00B90A24">
      <w:pPr>
        <w:spacing w:after="0" w:line="240" w:lineRule="auto"/>
        <w:rPr>
          <w:rFonts w:asciiTheme="minorHAnsi" w:hAnsiTheme="minorHAnsi"/>
          <w:sz w:val="28"/>
          <w:szCs w:val="28"/>
        </w:rPr>
      </w:pPr>
    </w:p>
    <w:p w14:paraId="2BC6105B" w14:textId="05AD878E" w:rsidR="00A9558A" w:rsidRPr="00B90A24" w:rsidRDefault="003430EA" w:rsidP="00B90A24">
      <w:pPr>
        <w:pStyle w:val="Caption"/>
        <w:spacing w:after="0"/>
        <w:ind w:left="709" w:firstLine="11"/>
        <w:rPr>
          <w:sz w:val="28"/>
          <w:szCs w:val="28"/>
        </w:rPr>
      </w:pPr>
      <w:bookmarkStart w:id="3" w:name="_Ref10816587"/>
      <w:bookmarkStart w:id="4" w:name="_Toc17883034"/>
      <w:r w:rsidRPr="00B90A24">
        <w:rPr>
          <w:sz w:val="28"/>
          <w:szCs w:val="28"/>
        </w:rPr>
        <w:t xml:space="preserve">                </w:t>
      </w:r>
      <w:r w:rsidR="00FC1278" w:rsidRPr="00B90A24">
        <w:rPr>
          <w:sz w:val="28"/>
          <w:szCs w:val="28"/>
        </w:rPr>
        <w:t xml:space="preserve">Figure </w:t>
      </w:r>
      <w:r w:rsidR="00FC1278" w:rsidRPr="00B90A24">
        <w:rPr>
          <w:sz w:val="28"/>
          <w:szCs w:val="28"/>
        </w:rPr>
        <w:fldChar w:fldCharType="begin"/>
      </w:r>
      <w:r w:rsidR="00FC1278" w:rsidRPr="00B90A24">
        <w:rPr>
          <w:sz w:val="28"/>
          <w:szCs w:val="28"/>
        </w:rPr>
        <w:instrText xml:space="preserve"> SEQ Figure \* ARABIC </w:instrText>
      </w:r>
      <w:r w:rsidR="00FC1278" w:rsidRPr="00B90A24">
        <w:rPr>
          <w:sz w:val="28"/>
          <w:szCs w:val="28"/>
        </w:rPr>
        <w:fldChar w:fldCharType="separate"/>
      </w:r>
      <w:r w:rsidR="000448CA" w:rsidRPr="00B90A24">
        <w:rPr>
          <w:noProof/>
          <w:sz w:val="28"/>
          <w:szCs w:val="28"/>
        </w:rPr>
        <w:t>2</w:t>
      </w:r>
      <w:r w:rsidR="00FC1278" w:rsidRPr="00B90A24">
        <w:rPr>
          <w:noProof/>
          <w:sz w:val="28"/>
          <w:szCs w:val="28"/>
        </w:rPr>
        <w:fldChar w:fldCharType="end"/>
      </w:r>
      <w:bookmarkEnd w:id="3"/>
      <w:r w:rsidR="00FC1278" w:rsidRPr="00B90A24">
        <w:rPr>
          <w:sz w:val="28"/>
          <w:szCs w:val="28"/>
        </w:rPr>
        <w:t>. Colour coding for haven scores</w:t>
      </w:r>
      <w:bookmarkEnd w:id="4"/>
    </w:p>
    <w:p w14:paraId="26539A12" w14:textId="77777777" w:rsidR="00A9558A" w:rsidRPr="00B90A24" w:rsidRDefault="00A9558A" w:rsidP="00B90A24">
      <w:pPr>
        <w:spacing w:after="0" w:line="240" w:lineRule="auto"/>
        <w:jc w:val="both"/>
        <w:rPr>
          <w:sz w:val="28"/>
          <w:szCs w:val="28"/>
        </w:rPr>
      </w:pPr>
    </w:p>
    <w:p w14:paraId="1BB083B4" w14:textId="6D3618B7" w:rsidR="00A9558A" w:rsidRPr="00B90A24" w:rsidRDefault="00CF7F62" w:rsidP="00B90A24">
      <w:pPr>
        <w:spacing w:after="0" w:line="240" w:lineRule="auto"/>
        <w:ind w:left="426" w:right="748"/>
        <w:jc w:val="both"/>
        <w:rPr>
          <w:sz w:val="28"/>
          <w:szCs w:val="28"/>
        </w:rPr>
      </w:pPr>
      <w:r w:rsidRPr="00B90A24">
        <w:rPr>
          <w:sz w:val="28"/>
          <w:szCs w:val="28"/>
        </w:rPr>
        <w:t>As with the limitations of any index, the Corporate Tax Haven Index reduces complex information into single numbers (the combination of the haven score and the global scale weight to form Corporate Tax Haven Index value)</w:t>
      </w:r>
      <w:r w:rsidR="00D1140B" w:rsidRPr="00B90A24">
        <w:rPr>
          <w:sz w:val="28"/>
          <w:szCs w:val="28"/>
        </w:rPr>
        <w:t xml:space="preserve">, which is based on the choice of indicators and formulas. This </w:t>
      </w:r>
      <w:r w:rsidRPr="00B90A24">
        <w:rPr>
          <w:sz w:val="28"/>
          <w:szCs w:val="28"/>
        </w:rPr>
        <w:t>invariably</w:t>
      </w:r>
      <w:bookmarkStart w:id="5" w:name="_GoBack"/>
      <w:bookmarkEnd w:id="5"/>
      <w:r w:rsidRPr="00B90A24">
        <w:rPr>
          <w:sz w:val="28"/>
          <w:szCs w:val="28"/>
        </w:rPr>
        <w:t xml:space="preserve"> involve</w:t>
      </w:r>
      <w:r w:rsidR="006B59AB" w:rsidRPr="00B90A24">
        <w:rPr>
          <w:sz w:val="28"/>
          <w:szCs w:val="28"/>
        </w:rPr>
        <w:t>s</w:t>
      </w:r>
      <w:r w:rsidRPr="00B90A24">
        <w:rPr>
          <w:sz w:val="28"/>
          <w:szCs w:val="28"/>
        </w:rPr>
        <w:t xml:space="preserve"> decisions taken to exclude potentially relevant aspects of tax avoidanc</w:t>
      </w:r>
      <w:r w:rsidR="006B59AB" w:rsidRPr="00B90A24">
        <w:rPr>
          <w:sz w:val="28"/>
          <w:szCs w:val="28"/>
        </w:rPr>
        <w:t>e,</w:t>
      </w:r>
      <w:r w:rsidRPr="00B90A24">
        <w:rPr>
          <w:sz w:val="28"/>
          <w:szCs w:val="28"/>
        </w:rPr>
        <w:t xml:space="preserve"> yet the remedy to this is the transparency and the full referencing of the data and decisions made</w:t>
      </w:r>
      <w:r w:rsidR="006B59AB" w:rsidRPr="00B90A24">
        <w:rPr>
          <w:sz w:val="28"/>
          <w:szCs w:val="28"/>
        </w:rPr>
        <w:t xml:space="preserve"> for the Corporate Tax Haven Index</w:t>
      </w:r>
      <w:r w:rsidR="00DC3F24" w:rsidRPr="00B90A24">
        <w:rPr>
          <w:sz w:val="28"/>
          <w:szCs w:val="28"/>
        </w:rPr>
        <w:t>, which make each data point verifiable</w:t>
      </w:r>
      <w:r w:rsidRPr="00B90A24">
        <w:rPr>
          <w:sz w:val="28"/>
          <w:szCs w:val="28"/>
        </w:rPr>
        <w:t>.</w:t>
      </w:r>
      <w:r w:rsidR="00500851" w:rsidRPr="00B90A24">
        <w:rPr>
          <w:sz w:val="28"/>
          <w:szCs w:val="28"/>
        </w:rPr>
        <w:t xml:space="preserve"> </w:t>
      </w:r>
      <w:r w:rsidR="004E7ABE" w:rsidRPr="00B90A24">
        <w:rPr>
          <w:sz w:val="28"/>
          <w:szCs w:val="28"/>
        </w:rPr>
        <w:t>The indicator</w:t>
      </w:r>
      <w:r w:rsidR="00A96E43" w:rsidRPr="00B90A24">
        <w:rPr>
          <w:sz w:val="28"/>
          <w:szCs w:val="28"/>
        </w:rPr>
        <w:t xml:space="preserve"> selection during the development of the index was guided by the methodological preference to create an index to comprehensively, robustly and directly measure the cross-border profit shifting and tax avoidance in any jurisdiction. Yet in the evaluation of existing econometric measurement techniques to assess tax avoidance, no good enough direct measure of all tax avoidance with broad enough geographical coverage was identified. </w:t>
      </w:r>
    </w:p>
    <w:p w14:paraId="26EFD11D" w14:textId="77777777" w:rsidR="00A9558A" w:rsidRPr="00B90A24" w:rsidRDefault="00A9558A" w:rsidP="00B90A24">
      <w:pPr>
        <w:spacing w:after="0" w:line="240" w:lineRule="auto"/>
        <w:ind w:left="426" w:right="748"/>
        <w:jc w:val="both"/>
        <w:rPr>
          <w:sz w:val="28"/>
          <w:szCs w:val="28"/>
        </w:rPr>
      </w:pPr>
    </w:p>
    <w:p w14:paraId="25043441" w14:textId="1C02822F" w:rsidR="00E05FC1" w:rsidRPr="00B90A24" w:rsidRDefault="00A96E43" w:rsidP="00B90A24">
      <w:pPr>
        <w:spacing w:after="0" w:line="240" w:lineRule="auto"/>
        <w:ind w:left="426" w:right="748"/>
        <w:jc w:val="both"/>
        <w:rPr>
          <w:sz w:val="28"/>
          <w:szCs w:val="28"/>
        </w:rPr>
      </w:pPr>
      <w:r w:rsidRPr="00B90A24">
        <w:rPr>
          <w:sz w:val="28"/>
          <w:szCs w:val="28"/>
        </w:rPr>
        <w:t>This justified instead the approach taken in the Corporate Tax Haven Index, like the Financial Secrecy Index</w:t>
      </w:r>
      <w:r w:rsidR="00C00B4F" w:rsidRPr="00B90A24">
        <w:rPr>
          <w:sz w:val="28"/>
          <w:szCs w:val="28"/>
        </w:rPr>
        <w:t xml:space="preserve"> also published every two years by the Tax Justice Network </w:t>
      </w:r>
      <w:r w:rsidR="00C00B4F" w:rsidRPr="00B90A24">
        <w:rPr>
          <w:sz w:val="28"/>
          <w:szCs w:val="28"/>
        </w:rPr>
        <w:fldChar w:fldCharType="begin"/>
      </w:r>
      <w:r w:rsidR="00A06D6C" w:rsidRPr="00B90A24">
        <w:rPr>
          <w:sz w:val="28"/>
          <w:szCs w:val="28"/>
        </w:rPr>
        <w:instrText xml:space="preserve"> ADDIN ZOTERO_ITEM CSL_CITATION {"citationID":"a1in3380piq","properties":{"formattedCitation":"(Tax Justice Network, 2020)","plainCitation":"(Tax Justice Network, 2020)","noteIndex":0},"citationItems":[{"id":5655,"uris":["http://zotero.org/groups/997303/items/JZ964DVM"],"uri":["http://zotero.org/groups/997303/items/JZ964DVM"],"itemData":{"id":5655,"type":"webpage","container-title":"Financial Secrecy Index","title":"Financial Secrecy Index","URL":"https://fsi.taxjustice.net/en/","author":[{"family":"Tax Justice Network","given":""}],"accessed":{"date-parts":[["2020",5,5]]},"issued":{"date-parts":[["2020"]]}}}],"schema":"https://github.com/citation-style-language/schema/raw/master/csl-citation.json"} </w:instrText>
      </w:r>
      <w:r w:rsidR="00C00B4F" w:rsidRPr="00B90A24">
        <w:rPr>
          <w:sz w:val="28"/>
          <w:szCs w:val="28"/>
        </w:rPr>
        <w:fldChar w:fldCharType="separate"/>
      </w:r>
      <w:r w:rsidR="00B133DE" w:rsidRPr="00B90A24">
        <w:rPr>
          <w:rFonts w:cs="Times New Roman"/>
          <w:sz w:val="28"/>
          <w:szCs w:val="28"/>
        </w:rPr>
        <w:t>(Tax Justice Network, 2020)</w:t>
      </w:r>
      <w:r w:rsidR="00C00B4F" w:rsidRPr="00B90A24">
        <w:rPr>
          <w:sz w:val="28"/>
          <w:szCs w:val="28"/>
        </w:rPr>
        <w:fldChar w:fldCharType="end"/>
      </w:r>
      <w:r w:rsidRPr="00B90A24">
        <w:rPr>
          <w:sz w:val="28"/>
          <w:szCs w:val="28"/>
        </w:rPr>
        <w:t>,</w:t>
      </w:r>
      <w:r w:rsidR="00C00B4F" w:rsidRPr="00B90A24">
        <w:rPr>
          <w:sz w:val="28"/>
          <w:szCs w:val="28"/>
        </w:rPr>
        <w:t xml:space="preserve"> </w:t>
      </w:r>
      <w:r w:rsidRPr="00B90A24">
        <w:rPr>
          <w:sz w:val="28"/>
          <w:szCs w:val="28"/>
        </w:rPr>
        <w:t>to construct a measure of a jurisdiction’s effort to attract tax avoidance and the scale of these efforts. This includes ascertaining legal factors that drive a jurisdiction’s effort</w:t>
      </w:r>
      <w:r w:rsidR="00C00B4F" w:rsidRPr="00B90A24">
        <w:rPr>
          <w:sz w:val="28"/>
          <w:szCs w:val="28"/>
        </w:rPr>
        <w:t>s</w:t>
      </w:r>
      <w:r w:rsidRPr="00B90A24">
        <w:rPr>
          <w:sz w:val="28"/>
          <w:szCs w:val="28"/>
        </w:rPr>
        <w:t xml:space="preserve"> in this regard, integrating a qualitative and ultimately subjective assessment in the measurement, i.e. a standard.</w:t>
      </w:r>
      <w:r w:rsidR="00643CC7" w:rsidRPr="00B90A24">
        <w:rPr>
          <w:sz w:val="28"/>
          <w:szCs w:val="28"/>
        </w:rPr>
        <w:t xml:space="preserve"> </w:t>
      </w:r>
      <w:r w:rsidR="00C00B4F" w:rsidRPr="00B90A24">
        <w:rPr>
          <w:sz w:val="28"/>
          <w:szCs w:val="28"/>
        </w:rPr>
        <w:t>The</w:t>
      </w:r>
      <w:r w:rsidR="00643CC7" w:rsidRPr="00B90A24">
        <w:rPr>
          <w:sz w:val="28"/>
          <w:szCs w:val="28"/>
        </w:rPr>
        <w:t xml:space="preserve"> indicators, as presented in the detailed methodology </w:t>
      </w:r>
      <w:r w:rsidR="00643CC7" w:rsidRPr="00B90A24">
        <w:rPr>
          <w:sz w:val="28"/>
          <w:szCs w:val="28"/>
        </w:rPr>
        <w:fldChar w:fldCharType="begin"/>
      </w:r>
      <w:r w:rsidR="00A06D6C" w:rsidRPr="00B90A24">
        <w:rPr>
          <w:sz w:val="28"/>
          <w:szCs w:val="28"/>
        </w:rPr>
        <w:instrText xml:space="preserve"> ADDIN ZOTERO_ITEM CSL_CITATION {"citationID":"auhtcl7d1t","properties":{"formattedCitation":"(Tax Justice Network, 2019c)","plainCitation":"(Tax Justice Network, 2019c)","noteIndex":0},"citationItems":[{"id":4234,"uris":["http://zotero.org/groups/997303/items/3QY3BQG9"],"uri":["http://zotero.org/groups/997303/items/3QY3BQG9"],"itemData":{"id":4234,"type":"report","title":"Corporate Tax Haven Index (CTHI) 2019 Methodology","URL":"https://www.corporatetaxhavenindex.org/PDF/CTHI-Methodology.pdf","author":[{"family":"Tax Justice Network","given":""}],"accessed":{"date-parts":[["2019",6,4]]},"issued":{"date-parts":[["2019"]]}}}],"schema":"https://github.com/citation-style-language/schema/raw/master/csl-citation.json"} </w:instrText>
      </w:r>
      <w:r w:rsidR="00643CC7" w:rsidRPr="00B90A24">
        <w:rPr>
          <w:sz w:val="28"/>
          <w:szCs w:val="28"/>
        </w:rPr>
        <w:fldChar w:fldCharType="separate"/>
      </w:r>
      <w:r w:rsidR="00B133DE" w:rsidRPr="00B90A24">
        <w:rPr>
          <w:rFonts w:cs="Times New Roman"/>
          <w:sz w:val="28"/>
          <w:szCs w:val="28"/>
        </w:rPr>
        <w:t>(Tax Justice Network, 2019c)</w:t>
      </w:r>
      <w:r w:rsidR="00643CC7" w:rsidRPr="00B90A24">
        <w:rPr>
          <w:sz w:val="28"/>
          <w:szCs w:val="28"/>
        </w:rPr>
        <w:fldChar w:fldCharType="end"/>
      </w:r>
      <w:r w:rsidR="00643CC7" w:rsidRPr="00B90A24">
        <w:rPr>
          <w:sz w:val="28"/>
          <w:szCs w:val="28"/>
        </w:rPr>
        <w:t xml:space="preserve">, have been included where there is convincing theoretical and empirical evidence that a legal characteristic may contribute to tax avoidance, tax evasion and the race to the bottom in corporate taxation. </w:t>
      </w:r>
    </w:p>
    <w:p w14:paraId="21443680" w14:textId="77777777" w:rsidR="00E05FC1" w:rsidRPr="00B90A24" w:rsidRDefault="00E05FC1" w:rsidP="00B90A24">
      <w:pPr>
        <w:spacing w:after="0" w:line="240" w:lineRule="auto"/>
        <w:ind w:left="426" w:right="748"/>
        <w:jc w:val="both"/>
        <w:rPr>
          <w:sz w:val="28"/>
          <w:szCs w:val="28"/>
        </w:rPr>
      </w:pPr>
    </w:p>
    <w:p w14:paraId="3CCE1457" w14:textId="38344B36" w:rsidR="00B10FE6" w:rsidRPr="00B90A24" w:rsidRDefault="00A96E43" w:rsidP="00B90A24">
      <w:pPr>
        <w:spacing w:after="0" w:line="240" w:lineRule="auto"/>
        <w:ind w:left="426" w:right="748"/>
        <w:jc w:val="both"/>
        <w:rPr>
          <w:sz w:val="28"/>
          <w:szCs w:val="28"/>
        </w:rPr>
      </w:pPr>
      <w:r w:rsidRPr="00B90A24">
        <w:rPr>
          <w:sz w:val="28"/>
          <w:szCs w:val="28"/>
        </w:rPr>
        <w:t>As explained above, to enhance a</w:t>
      </w:r>
      <w:r w:rsidR="00643CC7" w:rsidRPr="00B90A24">
        <w:rPr>
          <w:sz w:val="28"/>
          <w:szCs w:val="28"/>
        </w:rPr>
        <w:t xml:space="preserve">n indicator’s </w:t>
      </w:r>
      <w:r w:rsidRPr="00B90A24">
        <w:rPr>
          <w:sz w:val="28"/>
          <w:szCs w:val="28"/>
        </w:rPr>
        <w:t>validity and plausibility, maximum transparency has been designed into the construction and assessment of indicators to enable objective measurement, verification and comparison.</w:t>
      </w:r>
      <w:r w:rsidR="00643CC7" w:rsidRPr="00B90A24">
        <w:rPr>
          <w:sz w:val="28"/>
          <w:szCs w:val="28"/>
        </w:rPr>
        <w:t xml:space="preserve"> By enabling access to the wealth of legal data included in the index at no cost to other researchers, the indicators can be used to design alternative ways to assess the contribution of jurisdictions to the problem of profit shifting. </w:t>
      </w:r>
      <w:r w:rsidR="004E7ABE" w:rsidRPr="00B90A24">
        <w:rPr>
          <w:sz w:val="28"/>
          <w:szCs w:val="28"/>
        </w:rPr>
        <w:t>A statistical audit by the European Commis</w:t>
      </w:r>
      <w:r w:rsidR="00F04753" w:rsidRPr="00B90A24">
        <w:rPr>
          <w:sz w:val="28"/>
          <w:szCs w:val="28"/>
        </w:rPr>
        <w:t>s</w:t>
      </w:r>
      <w:r w:rsidR="004E7ABE" w:rsidRPr="00B90A24">
        <w:rPr>
          <w:sz w:val="28"/>
          <w:szCs w:val="28"/>
        </w:rPr>
        <w:t>ion’s Joint Research Centre is planned</w:t>
      </w:r>
      <w:r w:rsidR="00643CC7" w:rsidRPr="00B90A24">
        <w:rPr>
          <w:sz w:val="28"/>
          <w:szCs w:val="28"/>
        </w:rPr>
        <w:t xml:space="preserve"> for the Corporate Tax Haven Index</w:t>
      </w:r>
      <w:r w:rsidR="00C00B4F" w:rsidRPr="00B90A24">
        <w:rPr>
          <w:sz w:val="28"/>
          <w:szCs w:val="28"/>
        </w:rPr>
        <w:t xml:space="preserve"> as was conducted for the Financial Secrecy Index </w:t>
      </w:r>
      <w:r w:rsidR="00C00B4F" w:rsidRPr="00B90A24">
        <w:rPr>
          <w:sz w:val="28"/>
          <w:szCs w:val="28"/>
        </w:rPr>
        <w:fldChar w:fldCharType="begin"/>
      </w:r>
      <w:r w:rsidR="00A06D6C" w:rsidRPr="00B90A24">
        <w:rPr>
          <w:sz w:val="28"/>
          <w:szCs w:val="28"/>
        </w:rPr>
        <w:instrText xml:space="preserve"> ADDIN ZOTERO_ITEM CSL_CITATION {"citationID":"a1973hrnmt","properties":{"formattedCitation":"(cf. Becker &amp; Saisana, 2018)","plainCitation":"(cf. Becker &amp; Saisana, 2018)","noteIndex":0},"citationItems":[{"id":5904,"uris":["http://zotero.org/groups/997303/items/J5IEDUUI"],"uri":["http://zotero.org/groups/997303/items/J5IEDUUI"],"itemData":{"id":5904,"type":"report","publisher":"Joint Research Centre, European Commission; Tax Justice Network","title":"The JRC Statistical Audit of the Financial Secrecy Index 2018 and TJN’s Response to JRC Audit","URL":"https://composite-indicators.jrc.ec.europa.eu/sites/default/files/JRC%20Statistical%20Audit%20of%20the%20Financial%20Secrecy%20Index%202018.pdf","author":[{"family":"Becker","given":"William"},{"family":"Saisana","given":"Michaela"}],"accessed":{"date-parts":[["2020",6,12]]},"issued":{"date-parts":[["2018"]]}},"prefix":"cf. "}],"schema":"https://github.com/citation-style-language/schema/raw/master/csl-citation.json"} </w:instrText>
      </w:r>
      <w:r w:rsidR="00C00B4F" w:rsidRPr="00B90A24">
        <w:rPr>
          <w:sz w:val="28"/>
          <w:szCs w:val="28"/>
        </w:rPr>
        <w:fldChar w:fldCharType="separate"/>
      </w:r>
      <w:r w:rsidR="00B133DE" w:rsidRPr="00B90A24">
        <w:rPr>
          <w:rFonts w:cs="Times New Roman"/>
          <w:sz w:val="28"/>
          <w:szCs w:val="28"/>
        </w:rPr>
        <w:t>(cf. Becker &amp; Saisana, 2018)</w:t>
      </w:r>
      <w:r w:rsidR="00C00B4F" w:rsidRPr="00B90A24">
        <w:rPr>
          <w:sz w:val="28"/>
          <w:szCs w:val="28"/>
        </w:rPr>
        <w:fldChar w:fldCharType="end"/>
      </w:r>
      <w:r w:rsidR="004E7ABE" w:rsidRPr="00B90A24">
        <w:rPr>
          <w:sz w:val="28"/>
          <w:szCs w:val="28"/>
        </w:rPr>
        <w:t>.</w:t>
      </w:r>
    </w:p>
    <w:p w14:paraId="36221716" w14:textId="77777777" w:rsidR="00A9558A" w:rsidRPr="00B90A24" w:rsidRDefault="00A9558A" w:rsidP="00B90A24">
      <w:pPr>
        <w:spacing w:after="0" w:line="240" w:lineRule="auto"/>
        <w:ind w:left="426" w:right="748"/>
        <w:jc w:val="both"/>
        <w:rPr>
          <w:sz w:val="28"/>
          <w:szCs w:val="28"/>
        </w:rPr>
      </w:pPr>
    </w:p>
    <w:p w14:paraId="423D45C9" w14:textId="5147353D" w:rsidR="005D0665" w:rsidRPr="00B90A24" w:rsidRDefault="00500851" w:rsidP="00B90A24">
      <w:pPr>
        <w:spacing w:after="0" w:line="240" w:lineRule="auto"/>
        <w:ind w:left="426" w:right="748"/>
        <w:jc w:val="both"/>
        <w:rPr>
          <w:sz w:val="28"/>
          <w:szCs w:val="28"/>
        </w:rPr>
      </w:pPr>
      <w:r w:rsidRPr="00B90A24">
        <w:rPr>
          <w:sz w:val="28"/>
          <w:szCs w:val="28"/>
        </w:rPr>
        <w:t xml:space="preserve">Data availability constraints also affected the </w:t>
      </w:r>
      <w:r w:rsidR="00333C49" w:rsidRPr="00B90A24">
        <w:rPr>
          <w:sz w:val="28"/>
          <w:szCs w:val="28"/>
        </w:rPr>
        <w:t>research,</w:t>
      </w:r>
      <w:r w:rsidRPr="00B90A24">
        <w:rPr>
          <w:sz w:val="28"/>
          <w:szCs w:val="28"/>
        </w:rPr>
        <w:t xml:space="preserve"> especially since established institutions including the OECD, IMF and World Bank are not successfully collecting all relevant data</w:t>
      </w:r>
      <w:r w:rsidR="00333C49" w:rsidRPr="00B90A24">
        <w:rPr>
          <w:sz w:val="28"/>
          <w:szCs w:val="28"/>
        </w:rPr>
        <w:t xml:space="preserve"> for examining corporate profit shifting</w:t>
      </w:r>
      <w:r w:rsidR="001D06E0" w:rsidRPr="00B90A24">
        <w:rPr>
          <w:sz w:val="28"/>
          <w:szCs w:val="28"/>
        </w:rPr>
        <w:t xml:space="preserve"> </w:t>
      </w:r>
      <w:r w:rsidR="00B133DE" w:rsidRPr="00B90A24">
        <w:rPr>
          <w:sz w:val="28"/>
          <w:szCs w:val="28"/>
        </w:rPr>
        <w:fldChar w:fldCharType="begin"/>
      </w:r>
      <w:r w:rsidR="00B133DE" w:rsidRPr="00B90A24">
        <w:rPr>
          <w:sz w:val="28"/>
          <w:szCs w:val="28"/>
        </w:rPr>
        <w:instrText xml:space="preserve"> ADDIN ZOTERO_ITEM CSL_CITATION {"citationID":"OwwBM9Um","properties":{"formattedCitation":"(Cobham, 2020a)","plainCitation":"(Cobham, 2020a)","noteIndex":0},"citationItems":[{"id":6014,"uris":["http://zotero.org/groups/997303/items/Q8CXJC5N"],"uri":["http://zotero.org/groups/997303/items/Q8CXJC5N"],"itemData":{"id":6014,"type":"book","abstract":"What we count matters - and in a world where policies and decisions are underpinned by numbers, statistics and data, if you’re not counted, you don’t count.   Alex Cobham argues that systematic gaps in economic and demographic data not only lead us to understate a wide range of damaging inequalities, but also to actively exacerbate them.  He shows how, in statistics ranging from electoral registers to household surveys and census data, people from disadvantaged groups, such as indigenous populations, women, and disabled people, are consistently underrepresented.  This further marginalizes them, reducing everything from their political power to their weight in public spending decisions. Meanwhile, corporations and the ultra-rich seek ever greater complexity and opacity in their financial affairs - and when their wealth goes untallied, it means they can avoid regulation and taxation.   This brilliantly researched book shows how what we do and don’t count is not a neutral or ‘technical’ question: the numbers that rule our world are skewed by raw politics. Cobham forensically lays bare how these issues strike at the heart of our democracy, entrenching inequality and injustice – and outlines what we can do about it.","edition":"1 edition","event-place":"Cambridge, UK ; Medford, MA, USA","ISBN":"978-1-5095-3602-3","language":"English","number-of-pages":"200","publisher":"Polity","publisher-place":"Cambridge, UK ; Medford, MA, USA","source":"Amazon","title":"The Uncounted","author":[{"family":"Cobham","given":"Alex"}],"issued":{"date-parts":[["2020",1,13]]}}}],"schema":"https://github.com/citation-style-language/schema/raw/master/csl-citation.json"} </w:instrText>
      </w:r>
      <w:r w:rsidR="00B133DE" w:rsidRPr="00B90A24">
        <w:rPr>
          <w:sz w:val="28"/>
          <w:szCs w:val="28"/>
        </w:rPr>
        <w:fldChar w:fldCharType="separate"/>
      </w:r>
      <w:r w:rsidR="00B133DE" w:rsidRPr="00B90A24">
        <w:rPr>
          <w:rFonts w:cs="Times New Roman"/>
          <w:sz w:val="28"/>
          <w:szCs w:val="28"/>
        </w:rPr>
        <w:t>(Cobham, 2020a)</w:t>
      </w:r>
      <w:r w:rsidR="00B133DE" w:rsidRPr="00B90A24">
        <w:rPr>
          <w:sz w:val="28"/>
          <w:szCs w:val="28"/>
        </w:rPr>
        <w:fldChar w:fldCharType="end"/>
      </w:r>
      <w:r w:rsidRPr="00B90A24">
        <w:rPr>
          <w:sz w:val="28"/>
          <w:szCs w:val="28"/>
        </w:rPr>
        <w:t>.</w:t>
      </w:r>
      <w:r w:rsidR="00333C49" w:rsidRPr="00B90A24">
        <w:rPr>
          <w:sz w:val="28"/>
          <w:szCs w:val="28"/>
        </w:rPr>
        <w:t xml:space="preserve"> This has been highlighted by the</w:t>
      </w:r>
      <w:r w:rsidR="00F445DD" w:rsidRPr="00B90A24">
        <w:rPr>
          <w:sz w:val="28"/>
          <w:szCs w:val="28"/>
        </w:rPr>
        <w:t xml:space="preserve"> United Nations</w:t>
      </w:r>
      <w:r w:rsidR="00333C49" w:rsidRPr="00B90A24">
        <w:rPr>
          <w:sz w:val="28"/>
          <w:szCs w:val="28"/>
        </w:rPr>
        <w:t xml:space="preserve"> High-level Panel on International Financial Accountability, Transparency and Integrity for Achieving the 2030 Agenda (FACTI), which suggests improved data standards, collection and publication</w:t>
      </w:r>
      <w:r w:rsidR="00C00B4F" w:rsidRPr="00B90A24">
        <w:rPr>
          <w:sz w:val="28"/>
          <w:szCs w:val="28"/>
        </w:rPr>
        <w:t xml:space="preserve"> are required</w:t>
      </w:r>
      <w:r w:rsidR="00333C49" w:rsidRPr="00B90A24">
        <w:rPr>
          <w:sz w:val="28"/>
          <w:szCs w:val="28"/>
        </w:rPr>
        <w:t xml:space="preserve">, as currently “there is no one source with the responsibility of publishing consistent and reliable data on taxation for the entire world. Such publication, from a neutral and authoritative source, could assist in monitoring progress, guiding enforcement efforts, and incentivizing better policies” </w:t>
      </w:r>
      <w:r w:rsidR="00333C49" w:rsidRPr="00B90A24">
        <w:rPr>
          <w:sz w:val="28"/>
          <w:szCs w:val="28"/>
        </w:rPr>
        <w:fldChar w:fldCharType="begin"/>
      </w:r>
      <w:r w:rsidR="00A06D6C" w:rsidRPr="00B90A24">
        <w:rPr>
          <w:sz w:val="28"/>
          <w:szCs w:val="28"/>
        </w:rPr>
        <w:instrText xml:space="preserve"> ADDIN ZOTERO_ITEM CSL_CITATION {"citationID":"a83sk5vlo1","properties":{"formattedCitation":"(FACTI Secretariat, 2020, p. 31)","plainCitation":"(FACTI Secretariat, 2020, p. 31)","noteIndex":0},"citationItems":[{"id":5896,"uris":["http://zotero.org/groups/997303/items/CL7IG389"],"uri":["http://zotero.org/groups/997303/items/CL7IG389"],"itemData":{"id":5896,"type":"report","publisher":"High-level Panel on International Financial Accountability, Transparency and Integrity for Achieving the 2030 Agenda (FACTI) Secretariat","title":"Overview of existing international institutional and legal frameworks related to financial accountability, transparency and integrity","URL":"https://assets.website-files.com/5e0bd9edab846816e263d633/5e8df72aec8ff1144d3773f3_FACTI%20BP%201%20Overview%20of%20frameworks.pdf","author":[{"family":"FACTI Secretariat","given":""}],"accessed":{"date-parts":[["2020",6,11]]},"issued":{"date-parts":[["2020",4,6]]}},"locator":"31"}],"schema":"https://github.com/citation-style-language/schema/raw/master/csl-citation.json"} </w:instrText>
      </w:r>
      <w:r w:rsidR="00333C49" w:rsidRPr="00B90A24">
        <w:rPr>
          <w:sz w:val="28"/>
          <w:szCs w:val="28"/>
        </w:rPr>
        <w:fldChar w:fldCharType="separate"/>
      </w:r>
      <w:r w:rsidR="00B133DE" w:rsidRPr="00B90A24">
        <w:rPr>
          <w:rFonts w:cs="Times New Roman"/>
          <w:sz w:val="28"/>
          <w:szCs w:val="28"/>
        </w:rPr>
        <w:t>(FACTI Secretariat, 2020, p. 31)</w:t>
      </w:r>
      <w:r w:rsidR="00333C49" w:rsidRPr="00B90A24">
        <w:rPr>
          <w:sz w:val="28"/>
          <w:szCs w:val="28"/>
        </w:rPr>
        <w:fldChar w:fldCharType="end"/>
      </w:r>
      <w:r w:rsidR="00333C49" w:rsidRPr="00B90A24">
        <w:rPr>
          <w:sz w:val="28"/>
          <w:szCs w:val="28"/>
        </w:rPr>
        <w:t>.</w:t>
      </w:r>
      <w:r w:rsidRPr="00B90A24">
        <w:rPr>
          <w:sz w:val="28"/>
          <w:szCs w:val="28"/>
        </w:rPr>
        <w:t xml:space="preserve"> </w:t>
      </w:r>
      <w:r w:rsidR="00F445DD" w:rsidRPr="00B90A24">
        <w:rPr>
          <w:sz w:val="28"/>
          <w:szCs w:val="28"/>
        </w:rPr>
        <w:t xml:space="preserve"> N</w:t>
      </w:r>
      <w:r w:rsidRPr="00B90A24">
        <w:rPr>
          <w:sz w:val="28"/>
          <w:szCs w:val="28"/>
        </w:rPr>
        <w:t>o institution is ultimately identifying profit shifting by econometric means in real time</w:t>
      </w:r>
      <w:r w:rsidR="00F445DD" w:rsidRPr="00B90A24">
        <w:rPr>
          <w:sz w:val="28"/>
          <w:szCs w:val="28"/>
        </w:rPr>
        <w:t xml:space="preserve">. This </w:t>
      </w:r>
      <w:r w:rsidRPr="00B90A24">
        <w:rPr>
          <w:sz w:val="28"/>
          <w:szCs w:val="28"/>
        </w:rPr>
        <w:t>would be aided by</w:t>
      </w:r>
      <w:r w:rsidR="00F445DD" w:rsidRPr="00B90A24">
        <w:rPr>
          <w:sz w:val="28"/>
          <w:szCs w:val="28"/>
        </w:rPr>
        <w:t>, for example,</w:t>
      </w:r>
      <w:r w:rsidRPr="00B90A24">
        <w:rPr>
          <w:sz w:val="28"/>
          <w:szCs w:val="28"/>
        </w:rPr>
        <w:t xml:space="preserve"> requiring public country by country reporting</w:t>
      </w:r>
      <w:r w:rsidR="00546E2E" w:rsidRPr="00B90A24">
        <w:rPr>
          <w:sz w:val="28"/>
          <w:szCs w:val="28"/>
        </w:rPr>
        <w:t xml:space="preserve"> as well as</w:t>
      </w:r>
      <w:r w:rsidRPr="00B90A24">
        <w:rPr>
          <w:sz w:val="28"/>
          <w:szCs w:val="28"/>
        </w:rPr>
        <w:t xml:space="preserve"> more comprehensive metrics </w:t>
      </w:r>
      <w:r w:rsidR="00333C49" w:rsidRPr="00B90A24">
        <w:rPr>
          <w:sz w:val="28"/>
          <w:szCs w:val="28"/>
        </w:rPr>
        <w:t>beyond</w:t>
      </w:r>
      <w:r w:rsidRPr="00B90A24">
        <w:rPr>
          <w:sz w:val="28"/>
          <w:szCs w:val="28"/>
        </w:rPr>
        <w:t xml:space="preserve"> withholding tax rates to assess the aggressiveness of treaties </w:t>
      </w:r>
      <w:r w:rsidRPr="00B90A24">
        <w:rPr>
          <w:sz w:val="28"/>
          <w:szCs w:val="28"/>
        </w:rPr>
        <w:fldChar w:fldCharType="begin"/>
      </w:r>
      <w:r w:rsidR="00A06D6C" w:rsidRPr="00B90A24">
        <w:rPr>
          <w:sz w:val="28"/>
          <w:szCs w:val="28"/>
        </w:rPr>
        <w:instrText xml:space="preserve"> ADDIN ZOTERO_ITEM CSL_CITATION {"citationID":"a1shh14b8tt","properties":{"formattedCitation":"(cf. Hearson, 2016)","plainCitation":"(cf. Hearson, 2016)","noteIndex":0},"citationItems":[{"id":5632,"uris":["http://zotero.org/groups/997303/items/YZSM792X"],"uri":["http://zotero.org/groups/997303/items/YZSM792X"],"itemData":{"id":5632,"type":"report","collection-title":"ICTD Working Paper 47","event-place":"Brighton","publisher-place":"Brighton","title":"Measuring Tax Treaty Negotiation Outcomes: The ActionAid Tax Treaties Dataset","title-short":"Measuring Tax Treaty Negotiation Outcomes: The ActionAid Tax Treaties Dataset","URL":"www.ictd.ac/ju-download/file/88-ictd-wp47-pdf/latest/download?2951319cb2220550f30e41fe8d5e70c7=1&amp;return=aHR0cCUzQSUyRiUyRnd3dy5pY3RkLmFjJTJGanUtZG93bmxvYWQlMkYyLXdvcmtpbmctcGFwZXJzJTJGOTktbWVhc3VyaW5nLXRheC10cmVhdHktbmVnb3RpYXRpb24tb3V0Y29tZXMtdGhlLWFjdGlvbmFpZC10YXgtdHJlYXRpZXMtZGF0YXNldA==","author":[{"family":"Hearson","given":"Martin"}],"accessed":{"date-parts":[["2016",2,24]]},"issued":{"date-parts":[["2016"]]}},"prefix":"cf."}],"schema":"https://github.com/citation-style-language/schema/raw/master/csl-citation.json"} </w:instrText>
      </w:r>
      <w:r w:rsidRPr="00B90A24">
        <w:rPr>
          <w:sz w:val="28"/>
          <w:szCs w:val="28"/>
        </w:rPr>
        <w:fldChar w:fldCharType="separate"/>
      </w:r>
      <w:r w:rsidR="00B133DE" w:rsidRPr="00B90A24">
        <w:rPr>
          <w:rFonts w:cs="Times New Roman"/>
          <w:sz w:val="28"/>
          <w:szCs w:val="28"/>
        </w:rPr>
        <w:t>(cf. Hearson, 2016)</w:t>
      </w:r>
      <w:r w:rsidRPr="00B90A24">
        <w:rPr>
          <w:sz w:val="28"/>
          <w:szCs w:val="28"/>
        </w:rPr>
        <w:fldChar w:fldCharType="end"/>
      </w:r>
      <w:r w:rsidRPr="00B90A24">
        <w:rPr>
          <w:sz w:val="28"/>
          <w:szCs w:val="28"/>
        </w:rPr>
        <w:t>.</w:t>
      </w:r>
    </w:p>
    <w:p w14:paraId="4EEF152E" w14:textId="77777777" w:rsidR="003B6B06" w:rsidRPr="00B90A24" w:rsidRDefault="003B6B06" w:rsidP="00B90A24">
      <w:pPr>
        <w:spacing w:after="0" w:line="240" w:lineRule="auto"/>
        <w:ind w:left="426" w:right="748"/>
        <w:jc w:val="both"/>
        <w:rPr>
          <w:sz w:val="28"/>
          <w:szCs w:val="28"/>
        </w:rPr>
      </w:pPr>
    </w:p>
    <w:p w14:paraId="3349919A" w14:textId="76B3A398" w:rsidR="00AF60AC" w:rsidRPr="00B90A24" w:rsidRDefault="00A9558A" w:rsidP="00B90A24">
      <w:pPr>
        <w:pStyle w:val="Heading1"/>
        <w:spacing w:before="0" w:line="240" w:lineRule="auto"/>
        <w:ind w:left="426" w:right="748" w:hanging="284"/>
        <w:rPr>
          <w:color w:val="0070C0"/>
          <w:sz w:val="28"/>
        </w:rPr>
      </w:pPr>
      <w:r w:rsidRPr="00B90A24">
        <w:rPr>
          <w:color w:val="0070C0"/>
          <w:sz w:val="28"/>
        </w:rPr>
        <w:t>AFRICA IN THE CORPORATE TAX HAVEN INDEX</w:t>
      </w:r>
    </w:p>
    <w:p w14:paraId="411476DE" w14:textId="77777777" w:rsidR="00A9558A" w:rsidRPr="00B90A24" w:rsidRDefault="00A9558A" w:rsidP="00B90A24">
      <w:pPr>
        <w:spacing w:after="0" w:line="240" w:lineRule="auto"/>
        <w:ind w:left="426" w:right="748"/>
        <w:jc w:val="both"/>
        <w:rPr>
          <w:sz w:val="28"/>
          <w:szCs w:val="28"/>
        </w:rPr>
      </w:pPr>
      <w:bookmarkStart w:id="6" w:name="_Toc10614932"/>
      <w:bookmarkStart w:id="7" w:name="_Toc10615115"/>
    </w:p>
    <w:p w14:paraId="28639671" w14:textId="31E5344F" w:rsidR="00AF60AC" w:rsidRPr="00B90A24" w:rsidRDefault="00AF60AC" w:rsidP="00B90A24">
      <w:pPr>
        <w:spacing w:after="0" w:line="240" w:lineRule="auto"/>
        <w:ind w:left="426" w:right="748"/>
        <w:jc w:val="both"/>
        <w:rPr>
          <w:sz w:val="28"/>
          <w:szCs w:val="28"/>
        </w:rPr>
      </w:pPr>
      <w:r w:rsidRPr="00B90A24">
        <w:rPr>
          <w:sz w:val="28"/>
          <w:szCs w:val="28"/>
        </w:rPr>
        <w:t xml:space="preserve">African countries on average </w:t>
      </w:r>
      <w:r w:rsidR="006D230C" w:rsidRPr="00B90A24">
        <w:rPr>
          <w:sz w:val="28"/>
          <w:szCs w:val="28"/>
        </w:rPr>
        <w:t xml:space="preserve">create </w:t>
      </w:r>
      <w:r w:rsidR="00154E41" w:rsidRPr="00B90A24">
        <w:rPr>
          <w:sz w:val="28"/>
          <w:szCs w:val="28"/>
        </w:rPr>
        <w:t xml:space="preserve">less </w:t>
      </w:r>
      <w:r w:rsidRPr="00B90A24">
        <w:rPr>
          <w:sz w:val="28"/>
          <w:szCs w:val="28"/>
        </w:rPr>
        <w:t xml:space="preserve">tax avoidance </w:t>
      </w:r>
      <w:r w:rsidR="00653F38" w:rsidRPr="00B90A24">
        <w:rPr>
          <w:sz w:val="28"/>
          <w:szCs w:val="28"/>
        </w:rPr>
        <w:t xml:space="preserve">risks </w:t>
      </w:r>
      <w:r w:rsidRPr="00B90A24">
        <w:rPr>
          <w:sz w:val="28"/>
          <w:szCs w:val="28"/>
        </w:rPr>
        <w:t xml:space="preserve">than member states of the </w:t>
      </w:r>
      <w:r w:rsidR="00340231" w:rsidRPr="00B90A24">
        <w:rPr>
          <w:sz w:val="28"/>
          <w:szCs w:val="28"/>
        </w:rPr>
        <w:t>EU</w:t>
      </w:r>
      <w:r w:rsidRPr="00B90A24">
        <w:rPr>
          <w:sz w:val="28"/>
          <w:szCs w:val="28"/>
        </w:rPr>
        <w:t xml:space="preserve"> and the OECD and their dependencies </w:t>
      </w:r>
      <w:r w:rsidR="00653F38" w:rsidRPr="00B90A24">
        <w:rPr>
          <w:sz w:val="28"/>
          <w:szCs w:val="28"/>
        </w:rPr>
        <w:t>(</w:t>
      </w:r>
      <w:r w:rsidRPr="00B90A24">
        <w:rPr>
          <w:sz w:val="28"/>
          <w:szCs w:val="28"/>
        </w:rPr>
        <w:fldChar w:fldCharType="begin"/>
      </w:r>
      <w:r w:rsidRPr="00B90A24">
        <w:rPr>
          <w:sz w:val="28"/>
          <w:szCs w:val="28"/>
        </w:rPr>
        <w:instrText xml:space="preserve"> REF _Ref10726104 \h </w:instrText>
      </w:r>
      <w:r w:rsidR="00595FF1" w:rsidRPr="00B90A24">
        <w:rPr>
          <w:sz w:val="28"/>
          <w:szCs w:val="28"/>
        </w:rPr>
        <w:instrText xml:space="preserve"> \* MERGEFORMAT </w:instrText>
      </w:r>
      <w:r w:rsidRPr="00B90A24">
        <w:rPr>
          <w:sz w:val="28"/>
          <w:szCs w:val="28"/>
        </w:rPr>
      </w:r>
      <w:r w:rsidRPr="00B90A24">
        <w:rPr>
          <w:sz w:val="28"/>
          <w:szCs w:val="28"/>
        </w:rPr>
        <w:fldChar w:fldCharType="separate"/>
      </w:r>
      <w:r w:rsidR="00B122C4" w:rsidRPr="00B90A24">
        <w:rPr>
          <w:sz w:val="28"/>
          <w:szCs w:val="28"/>
        </w:rPr>
        <w:t xml:space="preserve">Figure </w:t>
      </w:r>
      <w:r w:rsidR="00B122C4" w:rsidRPr="00B90A24">
        <w:rPr>
          <w:noProof/>
          <w:sz w:val="28"/>
          <w:szCs w:val="28"/>
        </w:rPr>
        <w:t>3</w:t>
      </w:r>
      <w:r w:rsidRPr="00B90A24">
        <w:rPr>
          <w:sz w:val="28"/>
          <w:szCs w:val="28"/>
        </w:rPr>
        <w:fldChar w:fldCharType="end"/>
      </w:r>
      <w:r w:rsidR="00653F38" w:rsidRPr="00B90A24">
        <w:rPr>
          <w:sz w:val="28"/>
          <w:szCs w:val="28"/>
        </w:rPr>
        <w:t>)</w:t>
      </w:r>
      <w:r w:rsidRPr="00B90A24">
        <w:rPr>
          <w:sz w:val="28"/>
          <w:szCs w:val="28"/>
        </w:rPr>
        <w:t xml:space="preserve">. </w:t>
      </w:r>
      <w:r w:rsidR="00546E2E" w:rsidRPr="00B90A24">
        <w:rPr>
          <w:sz w:val="28"/>
          <w:szCs w:val="28"/>
        </w:rPr>
        <w:t>T</w:t>
      </w:r>
      <w:r w:rsidRPr="00B90A24">
        <w:rPr>
          <w:sz w:val="28"/>
          <w:szCs w:val="28"/>
        </w:rPr>
        <w:t>he average haven score for African countries is only slightly smaller than the</w:t>
      </w:r>
      <w:r w:rsidR="00546E2E" w:rsidRPr="00B90A24">
        <w:rPr>
          <w:sz w:val="28"/>
          <w:szCs w:val="28"/>
        </w:rPr>
        <w:t xml:space="preserve"> average of</w:t>
      </w:r>
      <w:r w:rsidRPr="00B90A24">
        <w:rPr>
          <w:sz w:val="28"/>
          <w:szCs w:val="28"/>
        </w:rPr>
        <w:t xml:space="preserve"> other regions, </w:t>
      </w:r>
      <w:r w:rsidR="00546E2E" w:rsidRPr="00B90A24">
        <w:rPr>
          <w:sz w:val="28"/>
          <w:szCs w:val="28"/>
        </w:rPr>
        <w:t xml:space="preserve">yet </w:t>
      </w:r>
      <w:r w:rsidRPr="00B90A24">
        <w:rPr>
          <w:sz w:val="28"/>
          <w:szCs w:val="28"/>
        </w:rPr>
        <w:t xml:space="preserve">when combined with the global scale weight, it results in an average Corporate Tax Haven Index (CTHI) value significantly smaller than the </w:t>
      </w:r>
      <w:r w:rsidR="00340231" w:rsidRPr="00B90A24">
        <w:rPr>
          <w:sz w:val="28"/>
          <w:szCs w:val="28"/>
        </w:rPr>
        <w:t>EU</w:t>
      </w:r>
      <w:r w:rsidRPr="00B90A24">
        <w:rPr>
          <w:sz w:val="28"/>
          <w:szCs w:val="28"/>
        </w:rPr>
        <w:t xml:space="preserve"> and the OECD values. </w:t>
      </w:r>
      <w:r w:rsidR="00DC3F24" w:rsidRPr="00B90A24">
        <w:rPr>
          <w:sz w:val="28"/>
          <w:szCs w:val="28"/>
        </w:rPr>
        <w:t xml:space="preserve">This signifies that there is a lower risk of African countries becoming destinations for profit shifting.  </w:t>
      </w:r>
    </w:p>
    <w:p w14:paraId="09645F96" w14:textId="6FED1FC7" w:rsidR="00A31938" w:rsidRPr="00B90A24" w:rsidRDefault="00A31938" w:rsidP="00B90A24">
      <w:pPr>
        <w:spacing w:after="0" w:line="240" w:lineRule="auto"/>
        <w:ind w:left="426" w:right="748"/>
        <w:jc w:val="both"/>
        <w:rPr>
          <w:sz w:val="28"/>
          <w:szCs w:val="28"/>
        </w:rPr>
      </w:pPr>
    </w:p>
    <w:p w14:paraId="10261E4A" w14:textId="77777777" w:rsidR="003430EA" w:rsidRPr="00B90A24" w:rsidRDefault="00340231" w:rsidP="00B90A24">
      <w:pPr>
        <w:pStyle w:val="Caption"/>
        <w:spacing w:after="0"/>
        <w:ind w:left="567"/>
        <w:jc w:val="both"/>
        <w:rPr>
          <w:sz w:val="28"/>
          <w:szCs w:val="28"/>
        </w:rPr>
      </w:pPr>
      <w:bookmarkStart w:id="8" w:name="_Ref10726104"/>
      <w:bookmarkStart w:id="9" w:name="_Toc17883035"/>
      <w:bookmarkStart w:id="10" w:name="_Hlk34899224"/>
      <w:r w:rsidRPr="00B90A24">
        <w:rPr>
          <w:noProof/>
          <w:sz w:val="28"/>
          <w:szCs w:val="28"/>
        </w:rPr>
        <w:drawing>
          <wp:inline distT="0" distB="0" distL="0" distR="0" wp14:anchorId="60177472" wp14:editId="4E43D5EE">
            <wp:extent cx="5731510" cy="2992755"/>
            <wp:effectExtent l="0" t="0" r="8890" b="17145"/>
            <wp:docPr id="2" name="Chart 2">
              <a:extLst xmlns:a="http://schemas.openxmlformats.org/drawingml/2006/main">
                <a:ext uri="{FF2B5EF4-FFF2-40B4-BE49-F238E27FC236}">
                  <a16:creationId xmlns:a16="http://schemas.microsoft.com/office/drawing/2014/main" id="{0D71E4ED-CE88-4031-8DAB-EE4D1B933B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527C09" w14:textId="4F5F2548" w:rsidR="00AF60AC" w:rsidRPr="00B90A24" w:rsidRDefault="00AF60AC" w:rsidP="00C5141D">
      <w:pPr>
        <w:pStyle w:val="Caption"/>
        <w:spacing w:after="0"/>
        <w:ind w:left="567" w:right="890"/>
        <w:jc w:val="both"/>
        <w:rPr>
          <w:sz w:val="28"/>
          <w:szCs w:val="28"/>
        </w:rPr>
      </w:pPr>
      <w:r w:rsidRPr="00B90A24">
        <w:rPr>
          <w:sz w:val="28"/>
          <w:szCs w:val="28"/>
        </w:rPr>
        <w:t xml:space="preserve">Figure </w:t>
      </w:r>
      <w:r w:rsidR="00340231" w:rsidRPr="00B90A24">
        <w:rPr>
          <w:sz w:val="28"/>
          <w:szCs w:val="28"/>
        </w:rPr>
        <w:fldChar w:fldCharType="begin"/>
      </w:r>
      <w:r w:rsidR="00340231" w:rsidRPr="00B90A24">
        <w:rPr>
          <w:sz w:val="28"/>
          <w:szCs w:val="28"/>
        </w:rPr>
        <w:instrText>SEQ Figure \* ARABIC</w:instrText>
      </w:r>
      <w:r w:rsidR="00340231" w:rsidRPr="00B90A24">
        <w:rPr>
          <w:sz w:val="28"/>
          <w:szCs w:val="28"/>
        </w:rPr>
        <w:fldChar w:fldCharType="separate"/>
      </w:r>
      <w:r w:rsidR="000448CA" w:rsidRPr="00B90A24">
        <w:rPr>
          <w:noProof/>
          <w:sz w:val="28"/>
          <w:szCs w:val="28"/>
        </w:rPr>
        <w:t>3</w:t>
      </w:r>
      <w:r w:rsidR="00340231" w:rsidRPr="00B90A24">
        <w:rPr>
          <w:sz w:val="28"/>
          <w:szCs w:val="28"/>
        </w:rPr>
        <w:fldChar w:fldCharType="end"/>
      </w:r>
      <w:bookmarkEnd w:id="8"/>
      <w:r w:rsidRPr="00B90A24">
        <w:rPr>
          <w:sz w:val="28"/>
          <w:szCs w:val="28"/>
        </w:rPr>
        <w:t xml:space="preserve">. Comparison of Africa, the </w:t>
      </w:r>
      <w:r w:rsidR="00340231" w:rsidRPr="00B90A24">
        <w:rPr>
          <w:sz w:val="28"/>
          <w:szCs w:val="28"/>
        </w:rPr>
        <w:t>EU</w:t>
      </w:r>
      <w:r w:rsidRPr="00B90A24">
        <w:rPr>
          <w:sz w:val="28"/>
          <w:szCs w:val="28"/>
        </w:rPr>
        <w:t xml:space="preserve"> and OECD countries and dependencies in the Corporate Tax Haven Index 2019</w:t>
      </w:r>
      <w:bookmarkEnd w:id="9"/>
    </w:p>
    <w:bookmarkEnd w:id="10"/>
    <w:p w14:paraId="015A24C6" w14:textId="77777777" w:rsidR="00A9558A" w:rsidRPr="00B90A24" w:rsidRDefault="00A9558A" w:rsidP="00B90A24">
      <w:pPr>
        <w:spacing w:after="0" w:line="240" w:lineRule="auto"/>
        <w:jc w:val="both"/>
        <w:rPr>
          <w:sz w:val="28"/>
          <w:szCs w:val="28"/>
        </w:rPr>
      </w:pPr>
    </w:p>
    <w:p w14:paraId="3824A9D5" w14:textId="5D383AB8" w:rsidR="00AF60AC" w:rsidRPr="00B90A24" w:rsidRDefault="00AF60AC" w:rsidP="00B90A24">
      <w:pPr>
        <w:spacing w:after="0" w:line="240" w:lineRule="auto"/>
        <w:ind w:left="567" w:right="464"/>
        <w:jc w:val="both"/>
        <w:rPr>
          <w:sz w:val="28"/>
          <w:szCs w:val="28"/>
        </w:rPr>
      </w:pPr>
      <w:r w:rsidRPr="00B90A24">
        <w:rPr>
          <w:sz w:val="28"/>
          <w:szCs w:val="28"/>
        </w:rPr>
        <w:lastRenderedPageBreak/>
        <w:t xml:space="preserve">The data </w:t>
      </w:r>
      <w:r w:rsidRPr="00B90A24" w:rsidDel="009C4D6E">
        <w:rPr>
          <w:sz w:val="28"/>
          <w:szCs w:val="28"/>
        </w:rPr>
        <w:t xml:space="preserve">on </w:t>
      </w:r>
      <w:r w:rsidRPr="00B90A24">
        <w:rPr>
          <w:sz w:val="28"/>
          <w:szCs w:val="28"/>
        </w:rPr>
        <w:t xml:space="preserve">African countries </w:t>
      </w:r>
      <w:r w:rsidR="005073C0" w:rsidRPr="00B90A24">
        <w:rPr>
          <w:sz w:val="28"/>
          <w:szCs w:val="28"/>
        </w:rPr>
        <w:t xml:space="preserve">is broken down by jurisdiction </w:t>
      </w:r>
      <w:r w:rsidRPr="00B90A24">
        <w:rPr>
          <w:sz w:val="28"/>
          <w:szCs w:val="28"/>
        </w:rPr>
        <w:t>in Table 1</w:t>
      </w:r>
      <w:r w:rsidR="00D7338C">
        <w:rPr>
          <w:sz w:val="28"/>
          <w:szCs w:val="28"/>
        </w:rPr>
        <w:t xml:space="preserve"> (next page)</w:t>
      </w:r>
      <w:r w:rsidRPr="00B90A24">
        <w:rPr>
          <w:sz w:val="28"/>
          <w:szCs w:val="28"/>
        </w:rPr>
        <w:t xml:space="preserve">. </w:t>
      </w:r>
      <w:r w:rsidR="00546E2E" w:rsidRPr="00B90A24">
        <w:rPr>
          <w:sz w:val="28"/>
          <w:szCs w:val="28"/>
        </w:rPr>
        <w:t xml:space="preserve">Mauritius’ </w:t>
      </w:r>
      <w:r w:rsidRPr="00B90A24">
        <w:rPr>
          <w:sz w:val="28"/>
          <w:szCs w:val="28"/>
        </w:rPr>
        <w:t xml:space="preserve">high </w:t>
      </w:r>
      <w:r w:rsidR="00A1553D" w:rsidRPr="00B90A24">
        <w:rPr>
          <w:sz w:val="28"/>
          <w:szCs w:val="28"/>
        </w:rPr>
        <w:t>haven score</w:t>
      </w:r>
      <w:r w:rsidR="00140E80" w:rsidRPr="00B90A24">
        <w:rPr>
          <w:sz w:val="28"/>
          <w:szCs w:val="28"/>
        </w:rPr>
        <w:t xml:space="preserve"> </w:t>
      </w:r>
      <w:r w:rsidR="000662C1" w:rsidRPr="00B90A24">
        <w:rPr>
          <w:sz w:val="28"/>
          <w:szCs w:val="28"/>
        </w:rPr>
        <w:t xml:space="preserve">(80) </w:t>
      </w:r>
      <w:r w:rsidR="00140E80" w:rsidRPr="00B90A24">
        <w:rPr>
          <w:sz w:val="28"/>
          <w:szCs w:val="28"/>
        </w:rPr>
        <w:t xml:space="preserve">points to this jurisdiction’s </w:t>
      </w:r>
      <w:r w:rsidR="00A44726" w:rsidRPr="00B90A24">
        <w:rPr>
          <w:sz w:val="28"/>
          <w:szCs w:val="28"/>
        </w:rPr>
        <w:t xml:space="preserve">role as a </w:t>
      </w:r>
      <w:r w:rsidR="004F0766" w:rsidRPr="00B90A24">
        <w:rPr>
          <w:sz w:val="28"/>
          <w:szCs w:val="28"/>
        </w:rPr>
        <w:t xml:space="preserve">dedicated corporate tax haven </w:t>
      </w:r>
      <w:r w:rsidR="00A44726" w:rsidRPr="00B90A24">
        <w:rPr>
          <w:sz w:val="28"/>
          <w:szCs w:val="28"/>
        </w:rPr>
        <w:t>in the region.</w:t>
      </w:r>
      <w:r w:rsidRPr="00B90A24">
        <w:rPr>
          <w:sz w:val="28"/>
          <w:szCs w:val="28"/>
        </w:rPr>
        <w:t xml:space="preserve"> </w:t>
      </w:r>
      <w:r w:rsidR="00AD0089" w:rsidRPr="00B90A24">
        <w:rPr>
          <w:sz w:val="28"/>
          <w:szCs w:val="28"/>
        </w:rPr>
        <w:t xml:space="preserve">With the exception of Seychelles, all </w:t>
      </w:r>
      <w:r w:rsidRPr="00B90A24">
        <w:rPr>
          <w:sz w:val="28"/>
          <w:szCs w:val="28"/>
        </w:rPr>
        <w:t xml:space="preserve">other African jurisdictions receive a haven score of around 50. The remainder of this </w:t>
      </w:r>
      <w:r w:rsidR="00E05FC1" w:rsidRPr="00B90A24">
        <w:rPr>
          <w:sz w:val="28"/>
          <w:szCs w:val="28"/>
        </w:rPr>
        <w:t>section</w:t>
      </w:r>
      <w:r w:rsidRPr="00B90A24">
        <w:rPr>
          <w:sz w:val="28"/>
          <w:szCs w:val="28"/>
        </w:rPr>
        <w:t xml:space="preserve"> explore</w:t>
      </w:r>
      <w:r w:rsidR="0051633D" w:rsidRPr="00B90A24">
        <w:rPr>
          <w:sz w:val="28"/>
          <w:szCs w:val="28"/>
        </w:rPr>
        <w:t>s</w:t>
      </w:r>
      <w:r w:rsidRPr="00B90A24">
        <w:rPr>
          <w:sz w:val="28"/>
          <w:szCs w:val="28"/>
        </w:rPr>
        <w:t xml:space="preserve"> in greater </w:t>
      </w:r>
      <w:r w:rsidR="0051633D" w:rsidRPr="00B90A24">
        <w:rPr>
          <w:sz w:val="28"/>
          <w:szCs w:val="28"/>
        </w:rPr>
        <w:t xml:space="preserve">detail </w:t>
      </w:r>
      <w:r w:rsidRPr="00B90A24">
        <w:rPr>
          <w:sz w:val="28"/>
          <w:szCs w:val="28"/>
        </w:rPr>
        <w:t xml:space="preserve">the </w:t>
      </w:r>
      <w:r w:rsidR="00D14F67" w:rsidRPr="00B90A24">
        <w:rPr>
          <w:sz w:val="28"/>
          <w:szCs w:val="28"/>
        </w:rPr>
        <w:t xml:space="preserve">comparative findings </w:t>
      </w:r>
      <w:r w:rsidR="00EA2140" w:rsidRPr="00B90A24">
        <w:rPr>
          <w:sz w:val="28"/>
          <w:szCs w:val="28"/>
        </w:rPr>
        <w:t xml:space="preserve">on </w:t>
      </w:r>
      <w:r w:rsidRPr="00B90A24">
        <w:rPr>
          <w:sz w:val="28"/>
          <w:szCs w:val="28"/>
        </w:rPr>
        <w:t xml:space="preserve">specific </w:t>
      </w:r>
      <w:r w:rsidR="0051633D" w:rsidRPr="00B90A24">
        <w:rPr>
          <w:sz w:val="28"/>
          <w:szCs w:val="28"/>
        </w:rPr>
        <w:t>path</w:t>
      </w:r>
      <w:r w:rsidRPr="00B90A24">
        <w:rPr>
          <w:sz w:val="28"/>
          <w:szCs w:val="28"/>
        </w:rPr>
        <w:t xml:space="preserve">ways </w:t>
      </w:r>
      <w:r w:rsidR="0029346D" w:rsidRPr="00B90A24">
        <w:rPr>
          <w:sz w:val="28"/>
          <w:szCs w:val="28"/>
        </w:rPr>
        <w:t xml:space="preserve">for tax spillovers </w:t>
      </w:r>
      <w:r w:rsidRPr="00B90A24">
        <w:rPr>
          <w:sz w:val="28"/>
          <w:szCs w:val="28"/>
        </w:rPr>
        <w:t>by examining the</w:t>
      </w:r>
      <w:r w:rsidR="00BD4D9E" w:rsidRPr="00B90A24">
        <w:rPr>
          <w:sz w:val="28"/>
          <w:szCs w:val="28"/>
        </w:rPr>
        <w:t xml:space="preserve"> haven indicator</w:t>
      </w:r>
      <w:r w:rsidRPr="00B90A24">
        <w:rPr>
          <w:sz w:val="28"/>
          <w:szCs w:val="28"/>
        </w:rPr>
        <w:t xml:space="preserve"> categories and </w:t>
      </w:r>
      <w:r w:rsidR="009760EC" w:rsidRPr="00B90A24">
        <w:rPr>
          <w:sz w:val="28"/>
          <w:szCs w:val="28"/>
        </w:rPr>
        <w:t xml:space="preserve">highlighting some </w:t>
      </w:r>
      <w:r w:rsidRPr="00B90A24">
        <w:rPr>
          <w:sz w:val="28"/>
          <w:szCs w:val="28"/>
        </w:rPr>
        <w:t xml:space="preserve">individual indicators. </w:t>
      </w:r>
      <w:bookmarkStart w:id="11" w:name="_Ref10618787"/>
    </w:p>
    <w:p w14:paraId="08C5D53C" w14:textId="77777777" w:rsidR="00D7338C" w:rsidRPr="00B90A24" w:rsidRDefault="00D7338C" w:rsidP="00B90A24">
      <w:pPr>
        <w:spacing w:after="0" w:line="240" w:lineRule="auto"/>
        <w:jc w:val="both"/>
        <w:rPr>
          <w:sz w:val="28"/>
          <w:szCs w:val="28"/>
        </w:rPr>
      </w:pPr>
    </w:p>
    <w:p w14:paraId="65572FD4" w14:textId="77777777" w:rsidR="00745F35" w:rsidRPr="00B90A24" w:rsidRDefault="00745F35" w:rsidP="00B90A24">
      <w:pPr>
        <w:spacing w:after="0" w:line="240" w:lineRule="auto"/>
        <w:jc w:val="both"/>
        <w:rPr>
          <w:sz w:val="28"/>
          <w:szCs w:val="28"/>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086"/>
        <w:gridCol w:w="1965"/>
        <w:gridCol w:w="1161"/>
        <w:gridCol w:w="1324"/>
        <w:gridCol w:w="1306"/>
        <w:gridCol w:w="1674"/>
        <w:gridCol w:w="9"/>
      </w:tblGrid>
      <w:tr w:rsidR="008477A0" w:rsidRPr="00B90A24" w14:paraId="576899E7" w14:textId="77777777" w:rsidTr="00C5141D">
        <w:trPr>
          <w:gridAfter w:val="1"/>
          <w:wAfter w:w="12" w:type="dxa"/>
          <w:cantSplit/>
          <w:trHeight w:val="251"/>
          <w:tblHeader/>
          <w:jc w:val="center"/>
        </w:trPr>
        <w:tc>
          <w:tcPr>
            <w:tcW w:w="1083" w:type="dxa"/>
            <w:shd w:val="clear" w:color="auto" w:fill="auto"/>
            <w:noWrap/>
            <w:hideMark/>
          </w:tcPr>
          <w:p w14:paraId="2740357C" w14:textId="77777777" w:rsidR="008477A0" w:rsidRPr="00B90A24" w:rsidRDefault="008477A0" w:rsidP="00B90A24">
            <w:pPr>
              <w:spacing w:after="0" w:line="240" w:lineRule="auto"/>
              <w:jc w:val="center"/>
              <w:rPr>
                <w:rFonts w:eastAsia="Times New Roman" w:cs="Times New Roman"/>
                <w:b/>
                <w:bCs/>
                <w:sz w:val="28"/>
                <w:szCs w:val="28"/>
                <w:lang w:eastAsia="en-GB"/>
              </w:rPr>
            </w:pPr>
            <w:bookmarkStart w:id="12" w:name="_Toc17877980"/>
            <w:bookmarkStart w:id="13" w:name="_Hlk34899297"/>
            <w:r w:rsidRPr="00B90A24">
              <w:rPr>
                <w:rFonts w:eastAsia="Times New Roman" w:cs="Times New Roman"/>
                <w:b/>
                <w:bCs/>
                <w:sz w:val="28"/>
                <w:szCs w:val="28"/>
                <w:lang w:eastAsia="en-GB"/>
              </w:rPr>
              <w:t>Africa Rank</w:t>
            </w:r>
          </w:p>
        </w:tc>
        <w:tc>
          <w:tcPr>
            <w:tcW w:w="1053" w:type="dxa"/>
            <w:shd w:val="clear" w:color="auto" w:fill="auto"/>
            <w:noWrap/>
            <w:hideMark/>
          </w:tcPr>
          <w:p w14:paraId="65508EFE" w14:textId="77777777" w:rsidR="008477A0" w:rsidRPr="00B90A24" w:rsidRDefault="008477A0" w:rsidP="00B90A24">
            <w:pPr>
              <w:spacing w:after="0" w:line="240" w:lineRule="auto"/>
              <w:jc w:val="center"/>
              <w:rPr>
                <w:rFonts w:eastAsia="Times New Roman" w:cs="Times New Roman"/>
                <w:b/>
                <w:bCs/>
                <w:sz w:val="28"/>
                <w:szCs w:val="28"/>
                <w:lang w:eastAsia="en-GB"/>
              </w:rPr>
            </w:pPr>
            <w:r w:rsidRPr="00B90A24">
              <w:rPr>
                <w:rFonts w:eastAsia="Times New Roman" w:cs="Times New Roman"/>
                <w:b/>
                <w:bCs/>
                <w:sz w:val="28"/>
                <w:szCs w:val="28"/>
                <w:lang w:eastAsia="en-GB"/>
              </w:rPr>
              <w:t>CTHI Rank</w:t>
            </w:r>
          </w:p>
        </w:tc>
        <w:tc>
          <w:tcPr>
            <w:tcW w:w="1905" w:type="dxa"/>
            <w:shd w:val="clear" w:color="auto" w:fill="auto"/>
            <w:noWrap/>
            <w:hideMark/>
          </w:tcPr>
          <w:p w14:paraId="5E8A81E9" w14:textId="77777777" w:rsidR="008477A0" w:rsidRPr="00B90A24" w:rsidRDefault="008477A0" w:rsidP="00B90A24">
            <w:pPr>
              <w:spacing w:after="0" w:line="240" w:lineRule="auto"/>
              <w:jc w:val="center"/>
              <w:rPr>
                <w:rFonts w:eastAsia="Times New Roman" w:cs="Times New Roman"/>
                <w:b/>
                <w:bCs/>
                <w:sz w:val="28"/>
                <w:szCs w:val="28"/>
                <w:lang w:eastAsia="en-GB"/>
              </w:rPr>
            </w:pPr>
            <w:r w:rsidRPr="00B90A24">
              <w:rPr>
                <w:rFonts w:eastAsia="Times New Roman" w:cs="Times New Roman"/>
                <w:b/>
                <w:bCs/>
                <w:sz w:val="28"/>
                <w:szCs w:val="28"/>
                <w:lang w:eastAsia="en-GB"/>
              </w:rPr>
              <w:t>Jurisdiction</w:t>
            </w:r>
          </w:p>
        </w:tc>
        <w:tc>
          <w:tcPr>
            <w:tcW w:w="1126" w:type="dxa"/>
            <w:shd w:val="clear" w:color="auto" w:fill="auto"/>
            <w:noWrap/>
            <w:hideMark/>
          </w:tcPr>
          <w:p w14:paraId="02A6A71B" w14:textId="77777777" w:rsidR="008477A0" w:rsidRPr="00B90A24" w:rsidRDefault="008477A0" w:rsidP="00B90A24">
            <w:pPr>
              <w:spacing w:after="0" w:line="240" w:lineRule="auto"/>
              <w:rPr>
                <w:rFonts w:eastAsia="Times New Roman" w:cs="Times New Roman"/>
                <w:b/>
                <w:bCs/>
                <w:sz w:val="28"/>
                <w:szCs w:val="28"/>
                <w:lang w:eastAsia="en-GB"/>
              </w:rPr>
            </w:pPr>
            <w:r w:rsidRPr="00B90A24">
              <w:rPr>
                <w:rFonts w:eastAsia="Times New Roman" w:cs="Times New Roman"/>
                <w:b/>
                <w:bCs/>
                <w:sz w:val="28"/>
                <w:szCs w:val="28"/>
                <w:lang w:eastAsia="en-GB"/>
              </w:rPr>
              <w:t>CTHI Value</w:t>
            </w:r>
            <w:r w:rsidRPr="00B90A24">
              <w:rPr>
                <w:rStyle w:val="FootnoteReference"/>
                <w:sz w:val="28"/>
                <w:szCs w:val="28"/>
              </w:rPr>
              <w:footnoteReference w:id="7"/>
            </w:r>
          </w:p>
        </w:tc>
        <w:tc>
          <w:tcPr>
            <w:tcW w:w="1284" w:type="dxa"/>
            <w:shd w:val="clear" w:color="auto" w:fill="auto"/>
            <w:noWrap/>
            <w:hideMark/>
          </w:tcPr>
          <w:p w14:paraId="4E657A05" w14:textId="77777777" w:rsidR="008477A0" w:rsidRPr="00B90A24" w:rsidRDefault="008477A0" w:rsidP="00B90A24">
            <w:pPr>
              <w:spacing w:after="0" w:line="240" w:lineRule="auto"/>
              <w:jc w:val="center"/>
              <w:rPr>
                <w:rFonts w:eastAsia="Times New Roman" w:cs="Times New Roman"/>
                <w:b/>
                <w:bCs/>
                <w:sz w:val="28"/>
                <w:szCs w:val="28"/>
                <w:lang w:eastAsia="en-GB"/>
              </w:rPr>
            </w:pPr>
            <w:r w:rsidRPr="00B90A24">
              <w:rPr>
                <w:rFonts w:eastAsia="Times New Roman" w:cs="Times New Roman"/>
                <w:b/>
                <w:bCs/>
                <w:sz w:val="28"/>
                <w:szCs w:val="28"/>
                <w:lang w:eastAsia="en-GB"/>
              </w:rPr>
              <w:t>CTHI Share</w:t>
            </w:r>
            <w:r w:rsidRPr="00B90A24">
              <w:rPr>
                <w:rStyle w:val="FootnoteReference"/>
                <w:sz w:val="28"/>
                <w:szCs w:val="28"/>
              </w:rPr>
              <w:footnoteReference w:id="8"/>
            </w:r>
          </w:p>
        </w:tc>
        <w:tc>
          <w:tcPr>
            <w:tcW w:w="1266" w:type="dxa"/>
            <w:shd w:val="clear" w:color="auto" w:fill="auto"/>
            <w:noWrap/>
            <w:hideMark/>
          </w:tcPr>
          <w:p w14:paraId="2606E90A" w14:textId="77777777" w:rsidR="008477A0" w:rsidRPr="00B90A24" w:rsidRDefault="008477A0" w:rsidP="00B90A24">
            <w:pPr>
              <w:spacing w:after="0" w:line="240" w:lineRule="auto"/>
              <w:jc w:val="center"/>
              <w:rPr>
                <w:rFonts w:eastAsia="Times New Roman" w:cs="Times New Roman"/>
                <w:b/>
                <w:bCs/>
                <w:sz w:val="28"/>
                <w:szCs w:val="28"/>
                <w:lang w:eastAsia="en-GB"/>
              </w:rPr>
            </w:pPr>
            <w:r w:rsidRPr="00B90A24">
              <w:rPr>
                <w:rFonts w:eastAsia="Times New Roman" w:cs="Times New Roman"/>
                <w:b/>
                <w:bCs/>
                <w:sz w:val="28"/>
                <w:szCs w:val="28"/>
                <w:lang w:eastAsia="en-GB"/>
              </w:rPr>
              <w:t>Haven Score</w:t>
            </w:r>
            <w:r w:rsidRPr="00B90A24">
              <w:rPr>
                <w:rStyle w:val="FootnoteReference"/>
                <w:sz w:val="28"/>
                <w:szCs w:val="28"/>
              </w:rPr>
              <w:footnoteReference w:id="9"/>
            </w:r>
          </w:p>
        </w:tc>
        <w:tc>
          <w:tcPr>
            <w:tcW w:w="1623" w:type="dxa"/>
            <w:shd w:val="clear" w:color="auto" w:fill="auto"/>
            <w:noWrap/>
            <w:hideMark/>
          </w:tcPr>
          <w:p w14:paraId="7226D93B" w14:textId="77777777" w:rsidR="008477A0" w:rsidRPr="00B90A24" w:rsidRDefault="008477A0" w:rsidP="00B90A24">
            <w:pPr>
              <w:spacing w:after="0" w:line="240" w:lineRule="auto"/>
              <w:jc w:val="center"/>
              <w:rPr>
                <w:rFonts w:eastAsia="Times New Roman" w:cs="Times New Roman"/>
                <w:b/>
                <w:bCs/>
                <w:sz w:val="28"/>
                <w:szCs w:val="28"/>
                <w:lang w:eastAsia="en-GB"/>
              </w:rPr>
            </w:pPr>
            <w:r w:rsidRPr="00B90A24">
              <w:rPr>
                <w:rFonts w:eastAsia="Times New Roman" w:cs="Times New Roman"/>
                <w:b/>
                <w:bCs/>
                <w:sz w:val="28"/>
                <w:szCs w:val="28"/>
                <w:lang w:eastAsia="en-GB"/>
              </w:rPr>
              <w:t>Global Scale Weight</w:t>
            </w:r>
            <w:r w:rsidRPr="00B90A24">
              <w:rPr>
                <w:rStyle w:val="FootnoteReference"/>
                <w:sz w:val="28"/>
                <w:szCs w:val="28"/>
              </w:rPr>
              <w:footnoteReference w:id="10"/>
            </w:r>
          </w:p>
        </w:tc>
      </w:tr>
      <w:tr w:rsidR="008477A0" w:rsidRPr="00B90A24" w14:paraId="0123C2E3" w14:textId="77777777" w:rsidTr="00C5141D">
        <w:trPr>
          <w:gridAfter w:val="1"/>
          <w:wAfter w:w="12" w:type="dxa"/>
          <w:cantSplit/>
          <w:trHeight w:val="234"/>
          <w:jc w:val="center"/>
        </w:trPr>
        <w:tc>
          <w:tcPr>
            <w:tcW w:w="1083" w:type="dxa"/>
            <w:shd w:val="clear" w:color="auto" w:fill="auto"/>
            <w:noWrap/>
            <w:hideMark/>
          </w:tcPr>
          <w:p w14:paraId="62E51B4B"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1</w:t>
            </w:r>
          </w:p>
        </w:tc>
        <w:tc>
          <w:tcPr>
            <w:tcW w:w="1053" w:type="dxa"/>
            <w:shd w:val="clear" w:color="auto" w:fill="auto"/>
            <w:noWrap/>
            <w:hideMark/>
          </w:tcPr>
          <w:p w14:paraId="0A54E710"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14</w:t>
            </w:r>
          </w:p>
        </w:tc>
        <w:tc>
          <w:tcPr>
            <w:tcW w:w="1905" w:type="dxa"/>
            <w:shd w:val="clear" w:color="000000" w:fill="DDEBF7"/>
            <w:noWrap/>
            <w:hideMark/>
          </w:tcPr>
          <w:p w14:paraId="763109FB"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Mauritius</w:t>
            </w:r>
          </w:p>
        </w:tc>
        <w:tc>
          <w:tcPr>
            <w:tcW w:w="1126" w:type="dxa"/>
            <w:shd w:val="clear" w:color="000000" w:fill="DDEBF7"/>
            <w:noWrap/>
            <w:hideMark/>
          </w:tcPr>
          <w:p w14:paraId="5258D2BA"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950</w:t>
            </w:r>
          </w:p>
        </w:tc>
        <w:tc>
          <w:tcPr>
            <w:tcW w:w="1284" w:type="dxa"/>
            <w:shd w:val="clear" w:color="000000" w:fill="DDEBF7"/>
            <w:noWrap/>
            <w:hideMark/>
          </w:tcPr>
          <w:p w14:paraId="3498FCD1"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2.50%</w:t>
            </w:r>
          </w:p>
        </w:tc>
        <w:tc>
          <w:tcPr>
            <w:tcW w:w="1266" w:type="dxa"/>
            <w:shd w:val="clear" w:color="000000" w:fill="D86E0E"/>
            <w:noWrap/>
            <w:vAlign w:val="center"/>
            <w:hideMark/>
          </w:tcPr>
          <w:p w14:paraId="6C27B032"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80</w:t>
            </w:r>
          </w:p>
        </w:tc>
        <w:tc>
          <w:tcPr>
            <w:tcW w:w="1623" w:type="dxa"/>
            <w:shd w:val="clear" w:color="000000" w:fill="DDEBF7"/>
            <w:noWrap/>
            <w:hideMark/>
          </w:tcPr>
          <w:p w14:paraId="499F58F0"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0.65%</w:t>
            </w:r>
          </w:p>
        </w:tc>
      </w:tr>
      <w:tr w:rsidR="008477A0" w:rsidRPr="00B90A24" w14:paraId="11965276" w14:textId="77777777" w:rsidTr="00C5141D">
        <w:trPr>
          <w:gridAfter w:val="1"/>
          <w:wAfter w:w="12" w:type="dxa"/>
          <w:cantSplit/>
          <w:trHeight w:val="234"/>
          <w:jc w:val="center"/>
        </w:trPr>
        <w:tc>
          <w:tcPr>
            <w:tcW w:w="1083" w:type="dxa"/>
            <w:shd w:val="clear" w:color="auto" w:fill="auto"/>
            <w:noWrap/>
            <w:hideMark/>
          </w:tcPr>
          <w:p w14:paraId="53F82DD2"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2</w:t>
            </w:r>
          </w:p>
        </w:tc>
        <w:tc>
          <w:tcPr>
            <w:tcW w:w="1053" w:type="dxa"/>
            <w:shd w:val="clear" w:color="auto" w:fill="auto"/>
            <w:noWrap/>
            <w:hideMark/>
          </w:tcPr>
          <w:p w14:paraId="7302A355"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42</w:t>
            </w:r>
          </w:p>
        </w:tc>
        <w:tc>
          <w:tcPr>
            <w:tcW w:w="1905" w:type="dxa"/>
            <w:shd w:val="clear" w:color="auto" w:fill="auto"/>
            <w:noWrap/>
            <w:hideMark/>
          </w:tcPr>
          <w:p w14:paraId="4740FB93"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South Africa</w:t>
            </w:r>
          </w:p>
        </w:tc>
        <w:tc>
          <w:tcPr>
            <w:tcW w:w="1126" w:type="dxa"/>
            <w:shd w:val="clear" w:color="auto" w:fill="auto"/>
            <w:noWrap/>
            <w:hideMark/>
          </w:tcPr>
          <w:p w14:paraId="23000E72"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184</w:t>
            </w:r>
          </w:p>
        </w:tc>
        <w:tc>
          <w:tcPr>
            <w:tcW w:w="1284" w:type="dxa"/>
            <w:shd w:val="clear" w:color="auto" w:fill="auto"/>
            <w:noWrap/>
            <w:hideMark/>
          </w:tcPr>
          <w:p w14:paraId="5436EF4C"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0.48%</w:t>
            </w:r>
          </w:p>
        </w:tc>
        <w:tc>
          <w:tcPr>
            <w:tcW w:w="1266" w:type="dxa"/>
            <w:shd w:val="clear" w:color="000000" w:fill="F0EA00"/>
            <w:noWrap/>
            <w:vAlign w:val="center"/>
            <w:hideMark/>
          </w:tcPr>
          <w:p w14:paraId="5A87262D"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47</w:t>
            </w:r>
          </w:p>
        </w:tc>
        <w:tc>
          <w:tcPr>
            <w:tcW w:w="1623" w:type="dxa"/>
            <w:shd w:val="clear" w:color="auto" w:fill="auto"/>
            <w:noWrap/>
            <w:hideMark/>
          </w:tcPr>
          <w:p w14:paraId="0DD077F3"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0.54%</w:t>
            </w:r>
          </w:p>
        </w:tc>
      </w:tr>
      <w:tr w:rsidR="008477A0" w:rsidRPr="00B90A24" w14:paraId="141906CA" w14:textId="77777777" w:rsidTr="00C5141D">
        <w:trPr>
          <w:gridAfter w:val="1"/>
          <w:wAfter w:w="12" w:type="dxa"/>
          <w:cantSplit/>
          <w:trHeight w:val="234"/>
          <w:jc w:val="center"/>
        </w:trPr>
        <w:tc>
          <w:tcPr>
            <w:tcW w:w="1083" w:type="dxa"/>
            <w:shd w:val="clear" w:color="auto" w:fill="auto"/>
            <w:noWrap/>
            <w:hideMark/>
          </w:tcPr>
          <w:p w14:paraId="4EE640A6"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3</w:t>
            </w:r>
          </w:p>
        </w:tc>
        <w:tc>
          <w:tcPr>
            <w:tcW w:w="1053" w:type="dxa"/>
            <w:shd w:val="clear" w:color="auto" w:fill="auto"/>
            <w:noWrap/>
            <w:hideMark/>
          </w:tcPr>
          <w:p w14:paraId="724AFA97"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44</w:t>
            </w:r>
          </w:p>
        </w:tc>
        <w:tc>
          <w:tcPr>
            <w:tcW w:w="1905" w:type="dxa"/>
            <w:shd w:val="clear" w:color="auto" w:fill="auto"/>
            <w:noWrap/>
            <w:hideMark/>
          </w:tcPr>
          <w:p w14:paraId="417C6E56"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Seychelles</w:t>
            </w:r>
          </w:p>
        </w:tc>
        <w:tc>
          <w:tcPr>
            <w:tcW w:w="1126" w:type="dxa"/>
            <w:shd w:val="clear" w:color="auto" w:fill="auto"/>
            <w:noWrap/>
            <w:hideMark/>
          </w:tcPr>
          <w:p w14:paraId="5DA1C044"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163</w:t>
            </w:r>
          </w:p>
        </w:tc>
        <w:tc>
          <w:tcPr>
            <w:tcW w:w="1284" w:type="dxa"/>
            <w:shd w:val="clear" w:color="auto" w:fill="auto"/>
            <w:noWrap/>
            <w:hideMark/>
          </w:tcPr>
          <w:p w14:paraId="2159E78B"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0.43%</w:t>
            </w:r>
          </w:p>
        </w:tc>
        <w:tc>
          <w:tcPr>
            <w:tcW w:w="1266" w:type="dxa"/>
            <w:shd w:val="clear" w:color="000000" w:fill="F29A3A"/>
            <w:noWrap/>
            <w:vAlign w:val="center"/>
            <w:hideMark/>
          </w:tcPr>
          <w:p w14:paraId="1114761F"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68</w:t>
            </w:r>
          </w:p>
        </w:tc>
        <w:tc>
          <w:tcPr>
            <w:tcW w:w="1623" w:type="dxa"/>
            <w:shd w:val="clear" w:color="auto" w:fill="auto"/>
            <w:noWrap/>
            <w:hideMark/>
          </w:tcPr>
          <w:p w14:paraId="590446B2"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0.01%</w:t>
            </w:r>
          </w:p>
        </w:tc>
      </w:tr>
      <w:tr w:rsidR="008477A0" w:rsidRPr="00B90A24" w14:paraId="7BB9B86C" w14:textId="77777777" w:rsidTr="00C5141D">
        <w:trPr>
          <w:gridAfter w:val="1"/>
          <w:wAfter w:w="12" w:type="dxa"/>
          <w:cantSplit/>
          <w:trHeight w:val="234"/>
          <w:jc w:val="center"/>
        </w:trPr>
        <w:tc>
          <w:tcPr>
            <w:tcW w:w="1083" w:type="dxa"/>
            <w:shd w:val="clear" w:color="auto" w:fill="auto"/>
            <w:noWrap/>
            <w:hideMark/>
          </w:tcPr>
          <w:p w14:paraId="1F262AFB"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w:t>
            </w:r>
          </w:p>
        </w:tc>
        <w:tc>
          <w:tcPr>
            <w:tcW w:w="1053" w:type="dxa"/>
            <w:shd w:val="clear" w:color="auto" w:fill="auto"/>
            <w:noWrap/>
            <w:hideMark/>
          </w:tcPr>
          <w:p w14:paraId="164BB07C"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56</w:t>
            </w:r>
          </w:p>
        </w:tc>
        <w:tc>
          <w:tcPr>
            <w:tcW w:w="1905" w:type="dxa"/>
            <w:shd w:val="clear" w:color="auto" w:fill="auto"/>
            <w:noWrap/>
            <w:hideMark/>
          </w:tcPr>
          <w:p w14:paraId="70BE3B98"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Botswana</w:t>
            </w:r>
          </w:p>
        </w:tc>
        <w:tc>
          <w:tcPr>
            <w:tcW w:w="1126" w:type="dxa"/>
            <w:shd w:val="clear" w:color="auto" w:fill="auto"/>
            <w:noWrap/>
            <w:hideMark/>
          </w:tcPr>
          <w:p w14:paraId="4D01190C"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74</w:t>
            </w:r>
          </w:p>
        </w:tc>
        <w:tc>
          <w:tcPr>
            <w:tcW w:w="1284" w:type="dxa"/>
            <w:shd w:val="clear" w:color="auto" w:fill="auto"/>
            <w:noWrap/>
            <w:hideMark/>
          </w:tcPr>
          <w:p w14:paraId="3E2AD1AD"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0.20%</w:t>
            </w:r>
          </w:p>
        </w:tc>
        <w:tc>
          <w:tcPr>
            <w:tcW w:w="1266" w:type="dxa"/>
            <w:shd w:val="clear" w:color="000000" w:fill="F29A3A"/>
            <w:noWrap/>
            <w:vAlign w:val="center"/>
            <w:hideMark/>
          </w:tcPr>
          <w:p w14:paraId="0BBABE68"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55</w:t>
            </w:r>
          </w:p>
        </w:tc>
        <w:tc>
          <w:tcPr>
            <w:tcW w:w="1623" w:type="dxa"/>
            <w:shd w:val="clear" w:color="auto" w:fill="auto"/>
            <w:noWrap/>
            <w:hideMark/>
          </w:tcPr>
          <w:p w14:paraId="1627461E"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0.01%</w:t>
            </w:r>
          </w:p>
        </w:tc>
      </w:tr>
      <w:tr w:rsidR="008477A0" w:rsidRPr="00B90A24" w14:paraId="460A860F" w14:textId="77777777" w:rsidTr="00C5141D">
        <w:trPr>
          <w:gridAfter w:val="1"/>
          <w:wAfter w:w="12" w:type="dxa"/>
          <w:cantSplit/>
          <w:trHeight w:val="234"/>
          <w:jc w:val="center"/>
        </w:trPr>
        <w:tc>
          <w:tcPr>
            <w:tcW w:w="1083" w:type="dxa"/>
            <w:shd w:val="clear" w:color="auto" w:fill="auto"/>
            <w:noWrap/>
            <w:hideMark/>
          </w:tcPr>
          <w:p w14:paraId="1EE50B09"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5</w:t>
            </w:r>
          </w:p>
        </w:tc>
        <w:tc>
          <w:tcPr>
            <w:tcW w:w="1053" w:type="dxa"/>
            <w:shd w:val="clear" w:color="auto" w:fill="auto"/>
            <w:noWrap/>
            <w:hideMark/>
          </w:tcPr>
          <w:p w14:paraId="53E51F3A"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57</w:t>
            </w:r>
          </w:p>
        </w:tc>
        <w:tc>
          <w:tcPr>
            <w:tcW w:w="1905" w:type="dxa"/>
            <w:shd w:val="clear" w:color="auto" w:fill="auto"/>
            <w:noWrap/>
            <w:hideMark/>
          </w:tcPr>
          <w:p w14:paraId="17EBCE70"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Liberia</w:t>
            </w:r>
          </w:p>
        </w:tc>
        <w:tc>
          <w:tcPr>
            <w:tcW w:w="1126" w:type="dxa"/>
            <w:shd w:val="clear" w:color="auto" w:fill="auto"/>
            <w:noWrap/>
            <w:hideMark/>
          </w:tcPr>
          <w:p w14:paraId="4C5B5469"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71</w:t>
            </w:r>
          </w:p>
        </w:tc>
        <w:tc>
          <w:tcPr>
            <w:tcW w:w="1284" w:type="dxa"/>
            <w:shd w:val="clear" w:color="auto" w:fill="auto"/>
            <w:noWrap/>
            <w:hideMark/>
          </w:tcPr>
          <w:p w14:paraId="66C2230C"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0.19%</w:t>
            </w:r>
          </w:p>
        </w:tc>
        <w:tc>
          <w:tcPr>
            <w:tcW w:w="1266" w:type="dxa"/>
            <w:shd w:val="clear" w:color="000000" w:fill="F0EA00"/>
            <w:noWrap/>
            <w:vAlign w:val="center"/>
            <w:hideMark/>
          </w:tcPr>
          <w:p w14:paraId="40C77A92"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49</w:t>
            </w:r>
          </w:p>
        </w:tc>
        <w:tc>
          <w:tcPr>
            <w:tcW w:w="1623" w:type="dxa"/>
            <w:shd w:val="clear" w:color="auto" w:fill="auto"/>
            <w:noWrap/>
            <w:hideMark/>
          </w:tcPr>
          <w:p w14:paraId="3FB60C81"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0.02%</w:t>
            </w:r>
          </w:p>
        </w:tc>
      </w:tr>
      <w:tr w:rsidR="008477A0" w:rsidRPr="00B90A24" w14:paraId="013AB077" w14:textId="77777777" w:rsidTr="00C5141D">
        <w:trPr>
          <w:gridAfter w:val="1"/>
          <w:wAfter w:w="12" w:type="dxa"/>
          <w:cantSplit/>
          <w:trHeight w:val="234"/>
          <w:jc w:val="center"/>
        </w:trPr>
        <w:tc>
          <w:tcPr>
            <w:tcW w:w="1083" w:type="dxa"/>
            <w:shd w:val="clear" w:color="auto" w:fill="auto"/>
            <w:noWrap/>
            <w:hideMark/>
          </w:tcPr>
          <w:p w14:paraId="1CC5B515"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6</w:t>
            </w:r>
          </w:p>
        </w:tc>
        <w:tc>
          <w:tcPr>
            <w:tcW w:w="1053" w:type="dxa"/>
            <w:shd w:val="clear" w:color="auto" w:fill="auto"/>
            <w:noWrap/>
            <w:hideMark/>
          </w:tcPr>
          <w:p w14:paraId="67C0B2FB"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58</w:t>
            </w:r>
          </w:p>
        </w:tc>
        <w:tc>
          <w:tcPr>
            <w:tcW w:w="1905" w:type="dxa"/>
            <w:shd w:val="clear" w:color="auto" w:fill="auto"/>
            <w:noWrap/>
            <w:hideMark/>
          </w:tcPr>
          <w:p w14:paraId="669F248B"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Kenya</w:t>
            </w:r>
          </w:p>
        </w:tc>
        <w:tc>
          <w:tcPr>
            <w:tcW w:w="1126" w:type="dxa"/>
            <w:shd w:val="clear" w:color="auto" w:fill="auto"/>
            <w:noWrap/>
            <w:hideMark/>
          </w:tcPr>
          <w:p w14:paraId="0249CEC7"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60</w:t>
            </w:r>
          </w:p>
        </w:tc>
        <w:tc>
          <w:tcPr>
            <w:tcW w:w="1284" w:type="dxa"/>
            <w:shd w:val="clear" w:color="auto" w:fill="auto"/>
            <w:noWrap/>
            <w:hideMark/>
          </w:tcPr>
          <w:p w14:paraId="648E5972"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0.16%</w:t>
            </w:r>
          </w:p>
        </w:tc>
        <w:tc>
          <w:tcPr>
            <w:tcW w:w="1266" w:type="dxa"/>
            <w:shd w:val="clear" w:color="000000" w:fill="F29A3A"/>
            <w:noWrap/>
            <w:vAlign w:val="center"/>
            <w:hideMark/>
          </w:tcPr>
          <w:p w14:paraId="440A4A40"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51</w:t>
            </w:r>
          </w:p>
        </w:tc>
        <w:tc>
          <w:tcPr>
            <w:tcW w:w="1623" w:type="dxa"/>
            <w:shd w:val="clear" w:color="auto" w:fill="auto"/>
            <w:noWrap/>
            <w:hideMark/>
          </w:tcPr>
          <w:p w14:paraId="59CF4FF1"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0.01%</w:t>
            </w:r>
          </w:p>
        </w:tc>
      </w:tr>
      <w:tr w:rsidR="008477A0" w:rsidRPr="00B90A24" w14:paraId="06FAFFA1" w14:textId="77777777" w:rsidTr="00C5141D">
        <w:trPr>
          <w:gridAfter w:val="1"/>
          <w:wAfter w:w="12" w:type="dxa"/>
          <w:cantSplit/>
          <w:trHeight w:val="234"/>
          <w:jc w:val="center"/>
        </w:trPr>
        <w:tc>
          <w:tcPr>
            <w:tcW w:w="1083" w:type="dxa"/>
            <w:shd w:val="clear" w:color="auto" w:fill="auto"/>
            <w:noWrap/>
            <w:hideMark/>
          </w:tcPr>
          <w:p w14:paraId="43906586"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7</w:t>
            </w:r>
          </w:p>
        </w:tc>
        <w:tc>
          <w:tcPr>
            <w:tcW w:w="1053" w:type="dxa"/>
            <w:shd w:val="clear" w:color="auto" w:fill="auto"/>
            <w:noWrap/>
            <w:hideMark/>
          </w:tcPr>
          <w:p w14:paraId="1593AA8A"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60</w:t>
            </w:r>
          </w:p>
        </w:tc>
        <w:tc>
          <w:tcPr>
            <w:tcW w:w="1905" w:type="dxa"/>
            <w:shd w:val="clear" w:color="auto" w:fill="auto"/>
            <w:noWrap/>
            <w:hideMark/>
          </w:tcPr>
          <w:p w14:paraId="5D021B71"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Ghana</w:t>
            </w:r>
          </w:p>
        </w:tc>
        <w:tc>
          <w:tcPr>
            <w:tcW w:w="1126" w:type="dxa"/>
            <w:shd w:val="clear" w:color="auto" w:fill="auto"/>
            <w:noWrap/>
            <w:hideMark/>
          </w:tcPr>
          <w:p w14:paraId="34E39771"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56</w:t>
            </w:r>
          </w:p>
        </w:tc>
        <w:tc>
          <w:tcPr>
            <w:tcW w:w="1284" w:type="dxa"/>
            <w:shd w:val="clear" w:color="auto" w:fill="auto"/>
            <w:noWrap/>
            <w:hideMark/>
          </w:tcPr>
          <w:p w14:paraId="1A359847"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0.15%</w:t>
            </w:r>
          </w:p>
        </w:tc>
        <w:tc>
          <w:tcPr>
            <w:tcW w:w="1266" w:type="dxa"/>
            <w:shd w:val="clear" w:color="000000" w:fill="F0EA00"/>
            <w:noWrap/>
            <w:vAlign w:val="center"/>
            <w:hideMark/>
          </w:tcPr>
          <w:p w14:paraId="151FA78C"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49</w:t>
            </w:r>
          </w:p>
        </w:tc>
        <w:tc>
          <w:tcPr>
            <w:tcW w:w="1623" w:type="dxa"/>
            <w:shd w:val="clear" w:color="auto" w:fill="auto"/>
            <w:noWrap/>
            <w:hideMark/>
          </w:tcPr>
          <w:p w14:paraId="7A6B71D5"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0.01%</w:t>
            </w:r>
          </w:p>
        </w:tc>
      </w:tr>
      <w:tr w:rsidR="008477A0" w:rsidRPr="00B90A24" w14:paraId="4E38B76B" w14:textId="77777777" w:rsidTr="00C5141D">
        <w:trPr>
          <w:gridAfter w:val="1"/>
          <w:wAfter w:w="12" w:type="dxa"/>
          <w:cantSplit/>
          <w:trHeight w:val="234"/>
          <w:jc w:val="center"/>
        </w:trPr>
        <w:tc>
          <w:tcPr>
            <w:tcW w:w="1083" w:type="dxa"/>
            <w:shd w:val="clear" w:color="auto" w:fill="auto"/>
            <w:noWrap/>
            <w:hideMark/>
          </w:tcPr>
          <w:p w14:paraId="662D71B8"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8</w:t>
            </w:r>
          </w:p>
        </w:tc>
        <w:tc>
          <w:tcPr>
            <w:tcW w:w="1053" w:type="dxa"/>
            <w:shd w:val="clear" w:color="auto" w:fill="auto"/>
            <w:noWrap/>
            <w:hideMark/>
          </w:tcPr>
          <w:p w14:paraId="78707C74"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62</w:t>
            </w:r>
          </w:p>
        </w:tc>
        <w:tc>
          <w:tcPr>
            <w:tcW w:w="1905" w:type="dxa"/>
            <w:shd w:val="clear" w:color="auto" w:fill="auto"/>
            <w:noWrap/>
            <w:hideMark/>
          </w:tcPr>
          <w:p w14:paraId="0E635B77"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Tanzania</w:t>
            </w:r>
          </w:p>
        </w:tc>
        <w:tc>
          <w:tcPr>
            <w:tcW w:w="1126" w:type="dxa"/>
            <w:shd w:val="clear" w:color="auto" w:fill="auto"/>
            <w:noWrap/>
            <w:hideMark/>
          </w:tcPr>
          <w:p w14:paraId="14B8984F"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40</w:t>
            </w:r>
          </w:p>
        </w:tc>
        <w:tc>
          <w:tcPr>
            <w:tcW w:w="1284" w:type="dxa"/>
            <w:shd w:val="clear" w:color="auto" w:fill="auto"/>
            <w:noWrap/>
            <w:hideMark/>
          </w:tcPr>
          <w:p w14:paraId="08B7CB65"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0.11%</w:t>
            </w:r>
          </w:p>
        </w:tc>
        <w:tc>
          <w:tcPr>
            <w:tcW w:w="1266" w:type="dxa"/>
            <w:shd w:val="clear" w:color="000000" w:fill="F0EA00"/>
            <w:noWrap/>
            <w:vAlign w:val="center"/>
            <w:hideMark/>
          </w:tcPr>
          <w:p w14:paraId="0E029A1E"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46</w:t>
            </w:r>
          </w:p>
        </w:tc>
        <w:tc>
          <w:tcPr>
            <w:tcW w:w="1623" w:type="dxa"/>
            <w:shd w:val="clear" w:color="auto" w:fill="auto"/>
            <w:noWrap/>
            <w:hideMark/>
          </w:tcPr>
          <w:p w14:paraId="14DF1BC3"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0.01%</w:t>
            </w:r>
          </w:p>
        </w:tc>
      </w:tr>
      <w:tr w:rsidR="008477A0" w:rsidRPr="00B90A24" w14:paraId="41757FC9" w14:textId="77777777" w:rsidTr="00C5141D">
        <w:trPr>
          <w:gridAfter w:val="1"/>
          <w:wAfter w:w="12" w:type="dxa"/>
          <w:cantSplit/>
          <w:trHeight w:val="234"/>
          <w:jc w:val="center"/>
        </w:trPr>
        <w:tc>
          <w:tcPr>
            <w:tcW w:w="1083" w:type="dxa"/>
            <w:shd w:val="clear" w:color="auto" w:fill="auto"/>
            <w:noWrap/>
            <w:hideMark/>
          </w:tcPr>
          <w:p w14:paraId="70E16AD2"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9</w:t>
            </w:r>
          </w:p>
        </w:tc>
        <w:tc>
          <w:tcPr>
            <w:tcW w:w="1053" w:type="dxa"/>
            <w:shd w:val="clear" w:color="auto" w:fill="auto"/>
            <w:noWrap/>
            <w:hideMark/>
          </w:tcPr>
          <w:p w14:paraId="12CBEA29"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63</w:t>
            </w:r>
          </w:p>
        </w:tc>
        <w:tc>
          <w:tcPr>
            <w:tcW w:w="1905" w:type="dxa"/>
            <w:shd w:val="clear" w:color="auto" w:fill="auto"/>
            <w:noWrap/>
            <w:hideMark/>
          </w:tcPr>
          <w:p w14:paraId="33E2E1B7"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Gambia</w:t>
            </w:r>
          </w:p>
        </w:tc>
        <w:tc>
          <w:tcPr>
            <w:tcW w:w="1126" w:type="dxa"/>
            <w:shd w:val="clear" w:color="auto" w:fill="auto"/>
            <w:noWrap/>
            <w:hideMark/>
          </w:tcPr>
          <w:p w14:paraId="21F9F383"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9</w:t>
            </w:r>
          </w:p>
        </w:tc>
        <w:tc>
          <w:tcPr>
            <w:tcW w:w="1284" w:type="dxa"/>
            <w:shd w:val="clear" w:color="auto" w:fill="auto"/>
            <w:noWrap/>
            <w:hideMark/>
          </w:tcPr>
          <w:p w14:paraId="0CFFADC1"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0.02%</w:t>
            </w:r>
          </w:p>
        </w:tc>
        <w:tc>
          <w:tcPr>
            <w:tcW w:w="1266" w:type="dxa"/>
            <w:shd w:val="clear" w:color="000000" w:fill="F0EA00"/>
            <w:noWrap/>
            <w:vAlign w:val="center"/>
            <w:hideMark/>
          </w:tcPr>
          <w:p w14:paraId="47B96B54"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48</w:t>
            </w:r>
          </w:p>
        </w:tc>
        <w:tc>
          <w:tcPr>
            <w:tcW w:w="1623" w:type="dxa"/>
            <w:shd w:val="clear" w:color="auto" w:fill="auto"/>
            <w:noWrap/>
            <w:hideMark/>
          </w:tcPr>
          <w:p w14:paraId="2F57416B" w14:textId="77777777" w:rsidR="008477A0" w:rsidRPr="00B90A24" w:rsidRDefault="008477A0"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0.00%</w:t>
            </w:r>
          </w:p>
        </w:tc>
      </w:tr>
      <w:tr w:rsidR="008477A0" w:rsidRPr="00B90A24" w14:paraId="3F6F9AAA" w14:textId="77777777" w:rsidTr="00C5141D">
        <w:trPr>
          <w:cantSplit/>
          <w:trHeight w:val="234"/>
          <w:jc w:val="center"/>
        </w:trPr>
        <w:tc>
          <w:tcPr>
            <w:tcW w:w="9352" w:type="dxa"/>
            <w:gridSpan w:val="8"/>
            <w:shd w:val="clear" w:color="auto" w:fill="D9E2F3" w:themeFill="accent1" w:themeFillTint="33"/>
            <w:noWrap/>
          </w:tcPr>
          <w:p w14:paraId="53B41AA9" w14:textId="643099E5" w:rsidR="008477A0" w:rsidRPr="00B90A24" w:rsidRDefault="008477A0" w:rsidP="00B90A24">
            <w:pPr>
              <w:spacing w:after="0" w:line="240" w:lineRule="auto"/>
              <w:rPr>
                <w:rFonts w:eastAsia="Times New Roman" w:cs="Times New Roman"/>
                <w:sz w:val="28"/>
                <w:szCs w:val="28"/>
                <w:lang w:eastAsia="en-GB"/>
              </w:rPr>
            </w:pPr>
            <w:r w:rsidRPr="00B90A24">
              <w:rPr>
                <w:rFonts w:eastAsia="Times New Roman" w:cs="Times New Roman"/>
                <w:sz w:val="28"/>
                <w:szCs w:val="28"/>
                <w:lang w:eastAsia="en-GB"/>
              </w:rPr>
              <w:t xml:space="preserve">Territories marked in light blue are British Commonwealth territories which are not </w:t>
            </w:r>
            <w:r w:rsidR="0029215D" w:rsidRPr="00B90A24">
              <w:rPr>
                <w:rFonts w:eastAsia="Times New Roman" w:cs="Times New Roman"/>
                <w:sz w:val="28"/>
                <w:szCs w:val="28"/>
                <w:lang w:eastAsia="en-GB"/>
              </w:rPr>
              <w:t>Overseas Territories (</w:t>
            </w:r>
            <w:r w:rsidRPr="00B90A24">
              <w:rPr>
                <w:rFonts w:eastAsia="Times New Roman" w:cs="Times New Roman"/>
                <w:sz w:val="28"/>
                <w:szCs w:val="28"/>
                <w:lang w:eastAsia="en-GB"/>
              </w:rPr>
              <w:t>OTs</w:t>
            </w:r>
            <w:r w:rsidR="0029215D" w:rsidRPr="00B90A24">
              <w:rPr>
                <w:rFonts w:eastAsia="Times New Roman" w:cs="Times New Roman"/>
                <w:sz w:val="28"/>
                <w:szCs w:val="28"/>
                <w:lang w:eastAsia="en-GB"/>
              </w:rPr>
              <w:t>)</w:t>
            </w:r>
            <w:r w:rsidRPr="00B90A24">
              <w:rPr>
                <w:rFonts w:eastAsia="Times New Roman" w:cs="Times New Roman"/>
                <w:sz w:val="28"/>
                <w:szCs w:val="28"/>
                <w:lang w:eastAsia="en-GB"/>
              </w:rPr>
              <w:t xml:space="preserve"> or </w:t>
            </w:r>
            <w:r w:rsidR="0029215D" w:rsidRPr="00B90A24">
              <w:rPr>
                <w:rFonts w:eastAsia="Times New Roman" w:cs="Times New Roman"/>
                <w:sz w:val="28"/>
                <w:szCs w:val="28"/>
                <w:lang w:eastAsia="en-GB"/>
              </w:rPr>
              <w:t>Crown Dependencies (</w:t>
            </w:r>
            <w:r w:rsidRPr="00B90A24">
              <w:rPr>
                <w:rFonts w:eastAsia="Times New Roman" w:cs="Times New Roman"/>
                <w:sz w:val="28"/>
                <w:szCs w:val="28"/>
                <w:lang w:eastAsia="en-GB"/>
              </w:rPr>
              <w:t>CDs</w:t>
            </w:r>
            <w:r w:rsidR="0029215D" w:rsidRPr="00B90A24">
              <w:rPr>
                <w:rFonts w:eastAsia="Times New Roman" w:cs="Times New Roman"/>
                <w:sz w:val="28"/>
                <w:szCs w:val="28"/>
                <w:lang w:eastAsia="en-GB"/>
              </w:rPr>
              <w:t>)</w:t>
            </w:r>
            <w:r w:rsidRPr="00B90A24">
              <w:rPr>
                <w:rFonts w:eastAsia="Times New Roman" w:cs="Times New Roman"/>
                <w:sz w:val="28"/>
                <w:szCs w:val="28"/>
                <w:lang w:eastAsia="en-GB"/>
              </w:rPr>
              <w:t xml:space="preserve"> but whose final court of appeal is the Judicial Committee of the Privy Council in London (see here for more details: </w:t>
            </w:r>
            <w:hyperlink r:id="rId12" w:history="1">
              <w:r w:rsidRPr="00B90A24">
                <w:rPr>
                  <w:rStyle w:val="Hyperlink"/>
                  <w:rFonts w:eastAsia="Times New Roman" w:cs="Times New Roman"/>
                  <w:sz w:val="28"/>
                  <w:szCs w:val="28"/>
                  <w:lang w:eastAsia="en-GB"/>
                </w:rPr>
                <w:t>http://www.taxjustice.net/cms/upload/pdf/Privy_Council_and_Secrecy_Scores.pdf</w:t>
              </w:r>
            </w:hyperlink>
            <w:r w:rsidRPr="00B90A24">
              <w:rPr>
                <w:rFonts w:eastAsia="Times New Roman" w:cs="Times New Roman"/>
                <w:sz w:val="28"/>
                <w:szCs w:val="28"/>
                <w:lang w:eastAsia="en-GB"/>
              </w:rPr>
              <w:t>).</w:t>
            </w:r>
          </w:p>
        </w:tc>
      </w:tr>
    </w:tbl>
    <w:p w14:paraId="781FB275" w14:textId="2164BC46" w:rsidR="00A9558A" w:rsidRPr="00B90A24" w:rsidRDefault="003430EA" w:rsidP="00B90A24">
      <w:pPr>
        <w:pStyle w:val="Caption"/>
        <w:spacing w:after="0"/>
        <w:ind w:left="993"/>
        <w:rPr>
          <w:sz w:val="28"/>
          <w:szCs w:val="28"/>
        </w:rPr>
      </w:pPr>
      <w:r w:rsidRPr="00B90A24">
        <w:rPr>
          <w:sz w:val="28"/>
          <w:szCs w:val="28"/>
        </w:rPr>
        <w:t xml:space="preserve"> </w:t>
      </w:r>
      <w:r w:rsidR="00AF60AC" w:rsidRPr="00B90A24">
        <w:rPr>
          <w:sz w:val="28"/>
          <w:szCs w:val="28"/>
        </w:rPr>
        <w:t xml:space="preserve">Table </w:t>
      </w:r>
      <w:r w:rsidR="00AF60AC" w:rsidRPr="00B90A24">
        <w:rPr>
          <w:sz w:val="28"/>
          <w:szCs w:val="28"/>
        </w:rPr>
        <w:fldChar w:fldCharType="begin"/>
      </w:r>
      <w:r w:rsidR="00AF60AC" w:rsidRPr="00B90A24">
        <w:rPr>
          <w:sz w:val="28"/>
          <w:szCs w:val="28"/>
        </w:rPr>
        <w:instrText xml:space="preserve"> SEQ Table \* ARABIC </w:instrText>
      </w:r>
      <w:r w:rsidR="00AF60AC" w:rsidRPr="00B90A24">
        <w:rPr>
          <w:sz w:val="28"/>
          <w:szCs w:val="28"/>
        </w:rPr>
        <w:fldChar w:fldCharType="separate"/>
      </w:r>
      <w:r w:rsidR="00B122C4" w:rsidRPr="00B90A24">
        <w:rPr>
          <w:noProof/>
          <w:sz w:val="28"/>
          <w:szCs w:val="28"/>
        </w:rPr>
        <w:t>1</w:t>
      </w:r>
      <w:r w:rsidR="00AF60AC" w:rsidRPr="00B90A24">
        <w:rPr>
          <w:sz w:val="28"/>
          <w:szCs w:val="28"/>
        </w:rPr>
        <w:fldChar w:fldCharType="end"/>
      </w:r>
      <w:bookmarkEnd w:id="11"/>
      <w:r w:rsidR="00AF60AC" w:rsidRPr="00B90A24">
        <w:rPr>
          <w:sz w:val="28"/>
          <w:szCs w:val="28"/>
        </w:rPr>
        <w:t>. African jurisdictions in the Corporate Tax Haven Index (CTHI) 2019</w:t>
      </w:r>
      <w:bookmarkEnd w:id="6"/>
      <w:bookmarkEnd w:id="7"/>
      <w:bookmarkEnd w:id="12"/>
    </w:p>
    <w:p w14:paraId="05B4538F" w14:textId="77777777" w:rsidR="00745F35" w:rsidRPr="00B90A24" w:rsidRDefault="00745F35" w:rsidP="00B90A24">
      <w:pPr>
        <w:spacing w:line="240" w:lineRule="auto"/>
        <w:rPr>
          <w:sz w:val="28"/>
          <w:szCs w:val="28"/>
          <w:lang w:val="de-DE"/>
        </w:rPr>
      </w:pPr>
      <w:bookmarkStart w:id="16" w:name="_Toc17879117"/>
      <w:bookmarkEnd w:id="13"/>
    </w:p>
    <w:p w14:paraId="07E6865B" w14:textId="058B80F9" w:rsidR="002A4AC6" w:rsidRPr="00B90A24" w:rsidRDefault="00AF60AC" w:rsidP="00B90A24">
      <w:pPr>
        <w:pStyle w:val="Heading2"/>
        <w:spacing w:before="0" w:line="240" w:lineRule="auto"/>
        <w:ind w:left="567" w:right="1031" w:hanging="425"/>
        <w:rPr>
          <w:i/>
          <w:color w:val="0070C0"/>
          <w:sz w:val="28"/>
          <w:szCs w:val="28"/>
        </w:rPr>
      </w:pPr>
      <w:r w:rsidRPr="00B90A24">
        <w:rPr>
          <w:i/>
          <w:color w:val="0070C0"/>
          <w:sz w:val="28"/>
          <w:szCs w:val="28"/>
        </w:rPr>
        <w:t>Lowest available corporate income tax</w:t>
      </w:r>
      <w:r w:rsidRPr="00B90A24">
        <w:rPr>
          <w:rStyle w:val="FootnoteReference"/>
          <w:i/>
          <w:color w:val="0070C0"/>
          <w:sz w:val="28"/>
          <w:szCs w:val="28"/>
        </w:rPr>
        <w:footnoteReference w:id="11"/>
      </w:r>
      <w:bookmarkEnd w:id="16"/>
    </w:p>
    <w:p w14:paraId="13EB2FBC" w14:textId="77777777" w:rsidR="00A9558A" w:rsidRPr="00B90A24" w:rsidRDefault="00A9558A" w:rsidP="00B90A24">
      <w:pPr>
        <w:spacing w:after="0" w:line="240" w:lineRule="auto"/>
        <w:ind w:left="567" w:right="1031"/>
        <w:jc w:val="both"/>
        <w:rPr>
          <w:sz w:val="28"/>
          <w:szCs w:val="28"/>
        </w:rPr>
      </w:pPr>
    </w:p>
    <w:p w14:paraId="5DE3117A" w14:textId="0783E364" w:rsidR="003430EA" w:rsidRPr="00B90A24" w:rsidRDefault="00FC1278" w:rsidP="00B90A24">
      <w:pPr>
        <w:spacing w:after="0" w:line="240" w:lineRule="auto"/>
        <w:ind w:left="567" w:right="1031"/>
        <w:jc w:val="both"/>
        <w:rPr>
          <w:sz w:val="28"/>
          <w:szCs w:val="28"/>
        </w:rPr>
      </w:pPr>
      <w:r w:rsidRPr="00B90A24">
        <w:rPr>
          <w:sz w:val="28"/>
          <w:szCs w:val="28"/>
        </w:rPr>
        <w:t>Revenues from corporate income tax make up about 15 per cent of revenues in developing countries</w:t>
      </w:r>
      <w:r w:rsidR="0008460C" w:rsidRPr="00B90A24">
        <w:rPr>
          <w:sz w:val="28"/>
          <w:szCs w:val="28"/>
        </w:rPr>
        <w:t xml:space="preserve"> </w:t>
      </w:r>
      <w:r w:rsidR="0008460C" w:rsidRPr="00B90A24">
        <w:rPr>
          <w:sz w:val="28"/>
          <w:szCs w:val="28"/>
        </w:rPr>
        <w:fldChar w:fldCharType="begin"/>
      </w:r>
      <w:r w:rsidR="00500851" w:rsidRPr="00B90A24">
        <w:rPr>
          <w:sz w:val="28"/>
          <w:szCs w:val="28"/>
        </w:rPr>
        <w:instrText xml:space="preserve"> ADDIN ZOTERO_ITEM CSL_CITATION {"citationID":"UWU2ek9V","properties":{"formattedCitation":"(International Monetary Fund, 2014, p. 7; McNabb &amp; LeMay-Boucher, 2014, p. 17)","plainCitation":"(International Monetary Fund, 2014, p. 7; McNabb &amp; LeMay-Boucher, 2014, p. 17)","noteIndex":0},"citationItems":[{"id":4136,"uris":["http://zotero.org/groups/997303/items/L8AL77ZG"],"uri":["http://zotero.org/groups/997303/items/L8AL77ZG"],"itemData":{"id":4136,"type":"report","genre":"IMF Policy Briefs","title":"Spillovers in international corporate taxation","URL":"https://www.imf.org/external/np/pp/eng/2014/050914.pdf","author":[{"family":"International Monetary Fund","given":""}],"accessed":{"date-parts":[["2019",5,23]]},"issued":{"date-parts":[["2014",5,9]]}},"locator":"7"},{"id":5617,"uris":["http://zotero.org/groups/997303/items/SLLVURRT"],"uri":["http://zotero.org/groups/997303/items/SLLVURRT"],"itemData":{"id":5617,"type":"report","abstract":"This paper investigates the relationship between tax structures and economic growth in a panel of developed and developing countries. In order to raise revenue, low-income countries have historically relied more heavily on international trade taxes, whilst richer nations employ comparatively more consumption and income taxes. Using the new Government Revenue Dataset (GRD) from the International Centre for Tax and Development (ICTD), we consider the effects of revenue-neutral changes in tax structure on economic growth for a panel of over 100 countries with data covering the period 1980-2010. Results from the Common Correlated Effects Mean Group (CMG) estimator (Pesaran 2006) find that increases in income taxes (specifically personal income taxes) offset by reductions in trade or consumption taxes have had a negative impact on GDP growth rates. We also highlight the fact that trade liberalisation has not had any discernible positive effects on economic growth. Revenue-neutral increases in personal income taxes are found to be particularly harmful in middle- and low-income countries. Taken alongside the results of, for example, Baunsgaard and Keen (2010), this is a reminder of the difficulties of tax reform for developing countries.","event-place":"Rochester, NY","genre":"SSRN Scholarly Paper","language":"en","note":"DOI: 10.2139/ssrn.2496470","number":"ID 2496470","publisher":"Social Science Research Network","publisher-place":"Rochester, NY","source":"papers.ssrn.com","title":"Tax Structures, Economic Growth And Development","URL":"https://papers.ssrn.com/abstract=2496470","author":[{"family":"McNabb","given":"Kyle"},{"family":"LeMay-Boucher","given":"Philippe"}],"accessed":{"date-parts":[["2020",4,16]]},"issued":{"date-parts":[["2014",9,1]]}},"locator":"17"}],"schema":"https://github.com/citation-style-language/schema/raw/master/csl-citation.json"} </w:instrText>
      </w:r>
      <w:r w:rsidR="0008460C" w:rsidRPr="00B90A24">
        <w:rPr>
          <w:sz w:val="28"/>
          <w:szCs w:val="28"/>
        </w:rPr>
        <w:fldChar w:fldCharType="separate"/>
      </w:r>
      <w:r w:rsidR="00B133DE" w:rsidRPr="00B90A24">
        <w:rPr>
          <w:rFonts w:cs="Times New Roman"/>
          <w:sz w:val="28"/>
          <w:szCs w:val="28"/>
        </w:rPr>
        <w:t>(International Monetary Fund, 2014, p. 7; McNabb &amp; LeMay-Boucher, 2014, p. 17)</w:t>
      </w:r>
      <w:r w:rsidR="0008460C" w:rsidRPr="00B90A24">
        <w:rPr>
          <w:sz w:val="28"/>
          <w:szCs w:val="28"/>
        </w:rPr>
        <w:fldChar w:fldCharType="end"/>
      </w:r>
      <w:r w:rsidR="0008460C" w:rsidRPr="00B90A24">
        <w:rPr>
          <w:sz w:val="28"/>
          <w:szCs w:val="28"/>
        </w:rPr>
        <w:t xml:space="preserve">. </w:t>
      </w:r>
      <w:r w:rsidRPr="00B90A24">
        <w:rPr>
          <w:sz w:val="28"/>
          <w:szCs w:val="28"/>
        </w:rPr>
        <w:t xml:space="preserve">Yet corporate income tax rates have </w:t>
      </w:r>
      <w:r w:rsidR="00EB5C66" w:rsidRPr="00B90A24">
        <w:rPr>
          <w:sz w:val="28"/>
          <w:szCs w:val="28"/>
        </w:rPr>
        <w:t xml:space="preserve">fallen </w:t>
      </w:r>
      <w:r w:rsidRPr="00B90A24">
        <w:rPr>
          <w:sz w:val="28"/>
          <w:szCs w:val="28"/>
        </w:rPr>
        <w:t xml:space="preserve">across the world, including in developing and emerging economies, </w:t>
      </w:r>
      <w:r w:rsidR="00062A2A" w:rsidRPr="00B90A24">
        <w:rPr>
          <w:sz w:val="28"/>
          <w:szCs w:val="28"/>
        </w:rPr>
        <w:t xml:space="preserve">contributing to </w:t>
      </w:r>
      <w:r w:rsidRPr="00B90A24">
        <w:rPr>
          <w:sz w:val="28"/>
          <w:szCs w:val="28"/>
        </w:rPr>
        <w:t xml:space="preserve">a race to the bottom in corporate taxation. This </w:t>
      </w:r>
      <w:r w:rsidR="002A0594" w:rsidRPr="00B90A24">
        <w:rPr>
          <w:sz w:val="28"/>
          <w:szCs w:val="28"/>
        </w:rPr>
        <w:t xml:space="preserve">downward </w:t>
      </w:r>
      <w:r w:rsidR="00FF1A03" w:rsidRPr="00B90A24">
        <w:rPr>
          <w:sz w:val="28"/>
          <w:szCs w:val="28"/>
        </w:rPr>
        <w:t xml:space="preserve">trend in corporate </w:t>
      </w:r>
      <w:r w:rsidR="00FF1A03" w:rsidRPr="00B90A24">
        <w:rPr>
          <w:sz w:val="28"/>
          <w:szCs w:val="28"/>
        </w:rPr>
        <w:lastRenderedPageBreak/>
        <w:t>tax</w:t>
      </w:r>
      <w:r w:rsidR="00354DD2" w:rsidRPr="00B90A24">
        <w:rPr>
          <w:sz w:val="28"/>
          <w:szCs w:val="28"/>
        </w:rPr>
        <w:t xml:space="preserve">ation </w:t>
      </w:r>
      <w:r w:rsidRPr="00B90A24">
        <w:rPr>
          <w:sz w:val="28"/>
          <w:szCs w:val="28"/>
        </w:rPr>
        <w:t xml:space="preserve">harms society since </w:t>
      </w:r>
      <w:r w:rsidR="00047FBB" w:rsidRPr="00B90A24">
        <w:rPr>
          <w:sz w:val="28"/>
          <w:szCs w:val="28"/>
        </w:rPr>
        <w:t xml:space="preserve">tax </w:t>
      </w:r>
      <w:r w:rsidR="008B41E2" w:rsidRPr="00B90A24">
        <w:rPr>
          <w:sz w:val="28"/>
          <w:szCs w:val="28"/>
        </w:rPr>
        <w:t xml:space="preserve">systems </w:t>
      </w:r>
      <w:r w:rsidR="00E41BD4" w:rsidRPr="00B90A24">
        <w:rPr>
          <w:sz w:val="28"/>
          <w:szCs w:val="28"/>
        </w:rPr>
        <w:t xml:space="preserve">become more </w:t>
      </w:r>
      <w:r w:rsidR="00CE6AA5" w:rsidRPr="00B90A24">
        <w:rPr>
          <w:sz w:val="28"/>
          <w:szCs w:val="28"/>
        </w:rPr>
        <w:t>regressive</w:t>
      </w:r>
      <w:r w:rsidR="00960E83" w:rsidRPr="00B90A24">
        <w:rPr>
          <w:sz w:val="28"/>
          <w:szCs w:val="28"/>
        </w:rPr>
        <w:t xml:space="preserve"> as a result</w:t>
      </w:r>
      <w:r w:rsidR="00E41BD4" w:rsidRPr="00B90A24">
        <w:rPr>
          <w:sz w:val="28"/>
          <w:szCs w:val="28"/>
        </w:rPr>
        <w:t xml:space="preserve">, shifting </w:t>
      </w:r>
      <w:r w:rsidR="00B174CA" w:rsidRPr="00B90A24">
        <w:rPr>
          <w:sz w:val="28"/>
          <w:szCs w:val="28"/>
        </w:rPr>
        <w:t xml:space="preserve">the tax mix </w:t>
      </w:r>
      <w:r w:rsidR="004E3B52" w:rsidRPr="00B90A24">
        <w:rPr>
          <w:sz w:val="28"/>
          <w:szCs w:val="28"/>
        </w:rPr>
        <w:t xml:space="preserve">away from capital </w:t>
      </w:r>
      <w:r w:rsidR="00B174CA" w:rsidRPr="00B90A24">
        <w:rPr>
          <w:sz w:val="28"/>
          <w:szCs w:val="28"/>
        </w:rPr>
        <w:t xml:space="preserve">towards </w:t>
      </w:r>
      <w:r w:rsidR="00292282" w:rsidRPr="00B90A24">
        <w:rPr>
          <w:sz w:val="28"/>
          <w:szCs w:val="28"/>
        </w:rPr>
        <w:t>less m</w:t>
      </w:r>
      <w:r w:rsidR="003C4B64" w:rsidRPr="00B90A24">
        <w:rPr>
          <w:sz w:val="28"/>
          <w:szCs w:val="28"/>
        </w:rPr>
        <w:t xml:space="preserve">obile </w:t>
      </w:r>
      <w:r w:rsidR="00B174CA" w:rsidRPr="00B90A24">
        <w:rPr>
          <w:sz w:val="28"/>
          <w:szCs w:val="28"/>
        </w:rPr>
        <w:t xml:space="preserve">labour </w:t>
      </w:r>
      <w:r w:rsidR="003C4B64" w:rsidRPr="00B90A24">
        <w:rPr>
          <w:sz w:val="28"/>
          <w:szCs w:val="28"/>
        </w:rPr>
        <w:t>and consumption</w:t>
      </w:r>
      <w:r w:rsidR="0012127C" w:rsidRPr="00B90A24">
        <w:rPr>
          <w:sz w:val="28"/>
          <w:szCs w:val="28"/>
        </w:rPr>
        <w:t xml:space="preserve"> </w:t>
      </w:r>
      <w:r w:rsidR="00AB2E74" w:rsidRPr="00B90A24">
        <w:rPr>
          <w:sz w:val="28"/>
          <w:szCs w:val="28"/>
        </w:rPr>
        <w:fldChar w:fldCharType="begin"/>
      </w:r>
      <w:r w:rsidR="00500851" w:rsidRPr="00B90A24">
        <w:rPr>
          <w:sz w:val="28"/>
          <w:szCs w:val="28"/>
        </w:rPr>
        <w:instrText xml:space="preserve"> ADDIN ZOTERO_ITEM CSL_CITATION {"citationID":"GolsXWco","properties":{"formattedCitation":"(Avi-Yonah, 2020; Hakelberg &amp; Rixen, forthcoming; Tax Justice Network, 2015)","plainCitation":"(Avi-Yonah, 2020; Hakelberg &amp; Rixen, forthcoming; Tax Justice Network, 2015)","noteIndex":0},"citationItems":[{"id":5820,"uris":["http://zotero.org/groups/997303/items/4Q2ACD3C"],"uri":["http://zotero.org/groups/997303/items/4Q2ACD3C"],"itemData":{"id":5820,"type":"report","abstract":"If we want to narrow the North-South divide that threatens our world, some limits on tax competition are inevitable. The world faces a crucial choice in the 2020s. We can either continue retreating from globalization in favor of xenophobic nationalism, tariffs, immigration restrictions, and exchange controls. That road leads ultimately to war, as it did in the 1930s. Or we can revive globalization by investing in a robust social safety net, infrastructure, education, and job creation. While more needs to be done, we have made significant progress in curbing tax competition in the last decade. The key move now is to take the added revenue and spend it wisely.","event-place":"Rochester, NY","genre":"SSRN Scholarly Paper","language":"en","note":"DOI: 10.2139/ssrn.3576538","number":"ID 3576538","publisher":"Social Science Research Network","publisher-place":"Rochester, NY","source":"papers.ssrn.com","title":"Taxation and Business: The Human Rights Dimension of Corporate Tax Practices","title-short":"Taxation and Business","URL":"https://papers.ssrn.com/abstract=3576538","author":[{"family":"Avi-Yonah","given":"Reuven S."}],"accessed":{"date-parts":[["2020",5,25]]},"issued":{"date-parts":[["2020",4,15]]}}},{"id":3834,"uris":["http://zotero.org/groups/997303/items/D458S7WA"],"uri":["http://zotero.org/groups/997303/items/D458S7WA"],"itemData":{"id":3834,"type":"article-journal","container-title":"forthcoming","language":"en","page":"61","source":"Zotero","title":"Is Neoliberalism Still Spreading? The Impact of International Cooperation on Capital Taxation","author":[{"family":"Hakelberg","given":"Lukas"},{"family":"Rixen","given":"Thomas"}],"issued":{"literal":"forthcoming"}}},{"id":2956,"uris":["http://zotero.org/groups/997303/items/A8K9JGXQ"],"uri":["http://zotero.org/groups/997303/items/A8K9JGXQ"],"itemData":{"id":2956,"type":"report","title":"Ten Reasons to Defend the Corporation Tax","URL":"https://www.taxjustice.net/wp-content/uploads/2013/04/Ten_Reasons_Full_Report.pdf","author":[{"family":"Tax Justice Network","given":""}],"accessed":{"date-parts":[["2018",7,17]]},"issued":{"date-parts":[["2015"]]}}}],"schema":"https://github.com/citation-style-language/schema/raw/master/csl-citation.json"} </w:instrText>
      </w:r>
      <w:r w:rsidR="00AB2E74" w:rsidRPr="00B90A24">
        <w:rPr>
          <w:sz w:val="28"/>
          <w:szCs w:val="28"/>
        </w:rPr>
        <w:fldChar w:fldCharType="separate"/>
      </w:r>
      <w:r w:rsidR="00B133DE" w:rsidRPr="00B90A24">
        <w:rPr>
          <w:rFonts w:cs="Times New Roman"/>
          <w:sz w:val="28"/>
          <w:szCs w:val="28"/>
        </w:rPr>
        <w:t>(Avi-Yonah, 2020; Hakelberg &amp; Rixen, forthcoming; Tax Justice Network, 2015)</w:t>
      </w:r>
      <w:r w:rsidR="00AB2E74" w:rsidRPr="00B90A24">
        <w:rPr>
          <w:sz w:val="28"/>
          <w:szCs w:val="28"/>
        </w:rPr>
        <w:fldChar w:fldCharType="end"/>
      </w:r>
      <w:r w:rsidR="004E3B52" w:rsidRPr="00B90A24">
        <w:rPr>
          <w:sz w:val="28"/>
          <w:szCs w:val="28"/>
        </w:rPr>
        <w:t>.</w:t>
      </w:r>
      <w:r w:rsidR="00E22421" w:rsidRPr="00B90A24">
        <w:rPr>
          <w:sz w:val="28"/>
          <w:szCs w:val="28"/>
        </w:rPr>
        <w:t xml:space="preserve"> </w:t>
      </w:r>
      <w:r w:rsidR="00B77133" w:rsidRPr="00B90A24">
        <w:rPr>
          <w:sz w:val="28"/>
          <w:szCs w:val="28"/>
        </w:rPr>
        <w:t xml:space="preserve">Furthermore, </w:t>
      </w:r>
      <w:r w:rsidR="00D61ADB" w:rsidRPr="00B90A24">
        <w:rPr>
          <w:sz w:val="28"/>
          <w:szCs w:val="28"/>
        </w:rPr>
        <w:t>tax rate</w:t>
      </w:r>
      <w:r w:rsidR="00905D53" w:rsidRPr="00B90A24">
        <w:rPr>
          <w:sz w:val="28"/>
          <w:szCs w:val="28"/>
        </w:rPr>
        <w:t xml:space="preserve"> differentials</w:t>
      </w:r>
      <w:r w:rsidR="00D61ADB" w:rsidRPr="00B90A24">
        <w:rPr>
          <w:sz w:val="28"/>
          <w:szCs w:val="28"/>
        </w:rPr>
        <w:t xml:space="preserve"> </w:t>
      </w:r>
      <w:r w:rsidR="00905D53" w:rsidRPr="00B90A24">
        <w:rPr>
          <w:sz w:val="28"/>
          <w:szCs w:val="28"/>
        </w:rPr>
        <w:t>incentivise profit shifting</w:t>
      </w:r>
      <w:r w:rsidR="009B7EDB" w:rsidRPr="00B90A24">
        <w:rPr>
          <w:sz w:val="28"/>
          <w:szCs w:val="28"/>
        </w:rPr>
        <w:t xml:space="preserve"> </w:t>
      </w:r>
      <w:r w:rsidR="009B7EDB" w:rsidRPr="00B90A24">
        <w:rPr>
          <w:sz w:val="28"/>
          <w:szCs w:val="28"/>
        </w:rPr>
        <w:fldChar w:fldCharType="begin"/>
      </w:r>
      <w:r w:rsidR="00B133DE" w:rsidRPr="00B90A24">
        <w:rPr>
          <w:sz w:val="28"/>
          <w:szCs w:val="28"/>
        </w:rPr>
        <w:instrText xml:space="preserve"> ADDIN ZOTERO_ITEM CSL_CITATION {"citationID":"GJFIG9rF","properties":{"formattedCitation":"(T\\uc0\\u248{}rsl\\uc0\\u248{}v et al., 2018, p. 32)","plainCitation":"(Tørsløv et al., 2018, p. 32)","noteIndex":0},"citationItems":[{"id":"LppWUde1/u5lEmxB0","uris":["http://zotero.org/users/1521920/items/IKZ38DIF"],"uri":["http://zotero.org/users/1521920/items/IKZ38DIF"],"itemData":{"id":8875,"type":"report","abstract":"By exploiting new macroeconomic data known as foreign affiliates statistics, we show that foreign firms are an order of magnitude more profitable than local firms in tax havens, but less profitable than local firms in other countries. Leveraging this differential profitability, we estimate that close to 40% of multinational profits are shifted to tax havens globally each year. The non-haven European Union countries appear to be the main losers from this shifting. We show theoretically and empirically that in the current international tax system, tax authorities of high-tax countries do not have incentives to combat profit shifting to tax havens. They instead focus their enforcement effort on relocating profits booked in other high-tax places. This policy failure can explain the persistence of profit shifting to tax havens despite the sizable costs involved for high-tax countries. We provide a new international database of GDP, trade balances, and factor shares corrected for profit shifting, showing that the rise of the global corporate capital share is significantly underestimated.","genre":"Working Paper","note":"DOI: 10.3386/w24701","number":"24701","publisher":"National Bureau of Economic Research","source":"National Bureau of Economic Research","title":"The Missing Profits of Nations","URL":"http://www.nber.org/papers/w24701","author":[{"family":"Tørsløv","given":"Thomas R"},{"family":"Wier","given":"Ludvig S"},{"family":"Zucman","given":"Gabriel"}],"accessed":{"date-parts":[["2018",8,30]]},"issued":{"date-parts":[["2018",6]]}},"locator":"32"}],"schema":"https://github.com/citation-style-language/schema/raw/master/csl-citation.json"} </w:instrText>
      </w:r>
      <w:r w:rsidR="009B7EDB" w:rsidRPr="00B90A24">
        <w:rPr>
          <w:sz w:val="28"/>
          <w:szCs w:val="28"/>
        </w:rPr>
        <w:fldChar w:fldCharType="separate"/>
      </w:r>
      <w:r w:rsidR="00B133DE" w:rsidRPr="00B90A24">
        <w:rPr>
          <w:rFonts w:cs="Times New Roman"/>
          <w:sz w:val="28"/>
          <w:szCs w:val="28"/>
        </w:rPr>
        <w:t>(Tørsløv et al., 2018, p. 32)</w:t>
      </w:r>
      <w:r w:rsidR="009B7EDB" w:rsidRPr="00B90A24">
        <w:rPr>
          <w:sz w:val="28"/>
          <w:szCs w:val="28"/>
        </w:rPr>
        <w:fldChar w:fldCharType="end"/>
      </w:r>
      <w:r w:rsidR="009B7EDB" w:rsidRPr="00B90A24">
        <w:rPr>
          <w:sz w:val="28"/>
          <w:szCs w:val="28"/>
        </w:rPr>
        <w:t>.</w:t>
      </w:r>
      <w:r w:rsidR="0008460C" w:rsidRPr="00B90A24">
        <w:rPr>
          <w:sz w:val="28"/>
          <w:szCs w:val="28"/>
        </w:rPr>
        <w:t xml:space="preserve"> </w:t>
      </w:r>
    </w:p>
    <w:p w14:paraId="1FA259CA" w14:textId="77777777" w:rsidR="003430EA" w:rsidRPr="00B90A24" w:rsidRDefault="003430EA" w:rsidP="00B90A24">
      <w:pPr>
        <w:spacing w:after="0" w:line="240" w:lineRule="auto"/>
        <w:ind w:left="567" w:right="1031"/>
        <w:jc w:val="both"/>
        <w:rPr>
          <w:sz w:val="28"/>
          <w:szCs w:val="28"/>
        </w:rPr>
      </w:pPr>
    </w:p>
    <w:p w14:paraId="0293C4B6" w14:textId="1EDECEB6" w:rsidR="00745F35" w:rsidRPr="00B90A24" w:rsidRDefault="009818B5" w:rsidP="00B90A24">
      <w:pPr>
        <w:spacing w:after="0" w:line="240" w:lineRule="auto"/>
        <w:ind w:left="567" w:right="1031"/>
        <w:jc w:val="both"/>
        <w:rPr>
          <w:sz w:val="28"/>
          <w:szCs w:val="28"/>
        </w:rPr>
      </w:pPr>
      <w:r w:rsidRPr="00B90A24">
        <w:rPr>
          <w:sz w:val="28"/>
          <w:szCs w:val="28"/>
        </w:rPr>
        <w:t>Moreover</w:t>
      </w:r>
      <w:r w:rsidR="00FC1278" w:rsidRPr="00B90A24">
        <w:rPr>
          <w:sz w:val="28"/>
          <w:szCs w:val="28"/>
        </w:rPr>
        <w:t xml:space="preserve">, there is often a discrepancy between </w:t>
      </w:r>
      <w:r w:rsidR="00920E8F" w:rsidRPr="00B90A24">
        <w:rPr>
          <w:sz w:val="28"/>
          <w:szCs w:val="28"/>
        </w:rPr>
        <w:t xml:space="preserve">the </w:t>
      </w:r>
      <w:r w:rsidR="00FC1278" w:rsidRPr="00B90A24">
        <w:rPr>
          <w:sz w:val="28"/>
          <w:szCs w:val="28"/>
        </w:rPr>
        <w:t xml:space="preserve">statutory corporate </w:t>
      </w:r>
      <w:r w:rsidR="006B161F" w:rsidRPr="00B90A24">
        <w:rPr>
          <w:sz w:val="28"/>
          <w:szCs w:val="28"/>
        </w:rPr>
        <w:t xml:space="preserve">income </w:t>
      </w:r>
      <w:r w:rsidR="00FC1278" w:rsidRPr="00B90A24">
        <w:rPr>
          <w:sz w:val="28"/>
          <w:szCs w:val="28"/>
        </w:rPr>
        <w:t>tax rates</w:t>
      </w:r>
      <w:r w:rsidR="00FC1278" w:rsidRPr="00B90A24">
        <w:rPr>
          <w:rFonts w:ascii="Arial" w:hAnsi="Arial" w:cs="Arial"/>
          <w:color w:val="222222"/>
          <w:sz w:val="28"/>
          <w:szCs w:val="28"/>
          <w:shd w:val="clear" w:color="auto" w:fill="FFFFFF"/>
        </w:rPr>
        <w:t>—</w:t>
      </w:r>
      <w:r w:rsidR="00FC1278" w:rsidRPr="00B90A24">
        <w:rPr>
          <w:sz w:val="28"/>
          <w:szCs w:val="28"/>
        </w:rPr>
        <w:t xml:space="preserve">the </w:t>
      </w:r>
      <w:r w:rsidR="006B161F" w:rsidRPr="00B90A24">
        <w:rPr>
          <w:sz w:val="28"/>
          <w:szCs w:val="28"/>
        </w:rPr>
        <w:t xml:space="preserve">highest available </w:t>
      </w:r>
      <w:r w:rsidR="00FC1278" w:rsidRPr="00B90A24">
        <w:rPr>
          <w:sz w:val="28"/>
          <w:szCs w:val="28"/>
        </w:rPr>
        <w:t xml:space="preserve">rate </w:t>
      </w:r>
      <w:r w:rsidR="00920E8F" w:rsidRPr="00B90A24">
        <w:rPr>
          <w:sz w:val="28"/>
          <w:szCs w:val="28"/>
        </w:rPr>
        <w:t xml:space="preserve">usually reported in datasets used for research and policy </w:t>
      </w:r>
      <w:r w:rsidR="006B161F" w:rsidRPr="00B90A24">
        <w:rPr>
          <w:sz w:val="28"/>
          <w:szCs w:val="28"/>
        </w:rPr>
        <w:t>analyses</w:t>
      </w:r>
      <w:r w:rsidR="00FC1278" w:rsidRPr="00B90A24">
        <w:rPr>
          <w:rFonts w:ascii="Arial" w:hAnsi="Arial" w:cs="Arial"/>
          <w:color w:val="222222"/>
          <w:sz w:val="28"/>
          <w:szCs w:val="28"/>
          <w:shd w:val="clear" w:color="auto" w:fill="FFFFFF"/>
        </w:rPr>
        <w:t>—</w:t>
      </w:r>
      <w:r w:rsidR="00FC1278" w:rsidRPr="00B90A24">
        <w:rPr>
          <w:sz w:val="28"/>
          <w:szCs w:val="28"/>
        </w:rPr>
        <w:t xml:space="preserve">and the real, legally documented lowest corporate </w:t>
      </w:r>
      <w:r w:rsidR="006B161F" w:rsidRPr="00B90A24">
        <w:rPr>
          <w:sz w:val="28"/>
          <w:szCs w:val="28"/>
        </w:rPr>
        <w:t xml:space="preserve">income </w:t>
      </w:r>
      <w:r w:rsidR="00FC1278" w:rsidRPr="00B90A24">
        <w:rPr>
          <w:sz w:val="28"/>
          <w:szCs w:val="28"/>
        </w:rPr>
        <w:t>tax rate</w:t>
      </w:r>
      <w:r w:rsidR="0001246C" w:rsidRPr="00B90A24">
        <w:rPr>
          <w:sz w:val="28"/>
          <w:szCs w:val="28"/>
        </w:rPr>
        <w:t>s</w:t>
      </w:r>
      <w:r w:rsidR="00FC1278" w:rsidRPr="00B90A24">
        <w:rPr>
          <w:sz w:val="28"/>
          <w:szCs w:val="28"/>
        </w:rPr>
        <w:t xml:space="preserve"> available in a country</w:t>
      </w:r>
      <w:r w:rsidR="008371FB" w:rsidRPr="00B90A24">
        <w:rPr>
          <w:sz w:val="28"/>
          <w:szCs w:val="28"/>
        </w:rPr>
        <w:t xml:space="preserve"> </w:t>
      </w:r>
      <w:r w:rsidR="00AF60AC" w:rsidRPr="00B90A24">
        <w:rPr>
          <w:sz w:val="28"/>
          <w:szCs w:val="28"/>
        </w:rPr>
        <w:fldChar w:fldCharType="begin"/>
      </w:r>
      <w:r w:rsidR="00500851" w:rsidRPr="00B90A24">
        <w:rPr>
          <w:rFonts w:cs="Times New Roman"/>
          <w:sz w:val="28"/>
          <w:szCs w:val="28"/>
        </w:rPr>
        <w:instrText xml:space="preserve"> ADDIN ZOTERO_ITEM CSL_CITATION {"citationID":"jbdnhAFN","properties":{"formattedCitation":"(Abbas &amp; Klemm, 2013)","plainCitation":"(Abbas &amp; Klemm, 2013)","noteIndex":0},"citationItems":[{"id":4253,"uris":["http://zotero.org/groups/997303/items/7KEDF3XZ"],"uri":["http://zotero.org/groups/997303/items/7KEDF3XZ"],"itemData":{"id":4253,"type":"article-journal","abstract":"This paper assembles a new dataset on corporate income tax regimes in 50 emerging and developing economies over 1996–2007 and analyzes their impact on corporate tax revenues and domestic and foreign investment. It computes effective tax rates to take account of special regimes, such as tax holidays, temporarily reduced rates and increased investment allowances. There is evidence of a partial race to the bottom: countries have been under pressure to lower tax rates in order to lure and boost investment. In the case of standard tax systems (i.e. tax rules applying under normal circumstances), the effective tax rate reductions have not been larger than those witnessed in advanced economies, and revenues have held up well over the sample period. However, a race to the bottom is evident among special regimes, most notably in the case of Africa, creating effectively a parallel tax system where rates have fallen to almost zero. Regression analysis reveals higher tax rates adversely affect domestic investment and FDI, but do raise revenues in the short run.","container-title":"International Tax and Public Finance","DOI":"10.1007/s10797-013-9286-8","ISSN":"1573-6970","issue":"4","journalAbbreviation":"Int Tax Public Finance","language":"en","page":"596-617","source":"Springer Link","title":"A partial race to the bottom: corporate tax developments in emerging and developing economies","title-short":"A partial race to the bottom","volume":"20","author":[{"family":"Abbas","given":"S. M. Ali"},{"family":"Klemm","given":"Alexander"}],"issued":{"date-parts":[["2013",8,1]]}}}],"schema":"https://github.com/citation-style-language/schema/raw/master/csl-citation.json"} </w:instrText>
      </w:r>
      <w:r w:rsidR="00AF60AC" w:rsidRPr="00B90A24">
        <w:rPr>
          <w:sz w:val="28"/>
          <w:szCs w:val="28"/>
        </w:rPr>
        <w:fldChar w:fldCharType="separate"/>
      </w:r>
      <w:r w:rsidR="00B133DE" w:rsidRPr="00B90A24">
        <w:rPr>
          <w:rFonts w:cs="Times New Roman"/>
          <w:sz w:val="28"/>
          <w:szCs w:val="28"/>
        </w:rPr>
        <w:t>(Abbas &amp; Klemm, 2013)</w:t>
      </w:r>
      <w:r w:rsidR="00AF60AC" w:rsidRPr="00B90A24">
        <w:rPr>
          <w:sz w:val="28"/>
          <w:szCs w:val="28"/>
        </w:rPr>
        <w:fldChar w:fldCharType="end"/>
      </w:r>
      <w:r w:rsidR="008371FB" w:rsidRPr="00B90A24">
        <w:rPr>
          <w:sz w:val="28"/>
          <w:szCs w:val="28"/>
        </w:rPr>
        <w:t>.</w:t>
      </w:r>
      <w:r w:rsidR="00AF60AC" w:rsidRPr="00B90A24">
        <w:rPr>
          <w:sz w:val="28"/>
          <w:szCs w:val="28"/>
        </w:rPr>
        <w:t xml:space="preserve"> </w:t>
      </w:r>
      <w:r w:rsidR="0001246C" w:rsidRPr="00B90A24">
        <w:rPr>
          <w:sz w:val="28"/>
          <w:szCs w:val="28"/>
        </w:rPr>
        <w:t>Focusing on active business income of subsidiaries of multinational companies</w:t>
      </w:r>
      <w:r w:rsidR="00DD0EA7" w:rsidRPr="00B90A24">
        <w:rPr>
          <w:sz w:val="28"/>
          <w:szCs w:val="28"/>
        </w:rPr>
        <w:t xml:space="preserve">, </w:t>
      </w:r>
      <w:r w:rsidR="00716781" w:rsidRPr="00B90A24">
        <w:rPr>
          <w:sz w:val="28"/>
          <w:szCs w:val="28"/>
        </w:rPr>
        <w:t xml:space="preserve">the first </w:t>
      </w:r>
      <w:r w:rsidR="00BF4CD0" w:rsidRPr="00B90A24">
        <w:rPr>
          <w:sz w:val="28"/>
          <w:szCs w:val="28"/>
        </w:rPr>
        <w:t xml:space="preserve">haven indicator </w:t>
      </w:r>
      <w:r w:rsidR="006A64B6" w:rsidRPr="00B90A24">
        <w:rPr>
          <w:sz w:val="28"/>
          <w:szCs w:val="28"/>
        </w:rPr>
        <w:t xml:space="preserve">determines </w:t>
      </w:r>
      <w:r w:rsidR="00AF60AC" w:rsidRPr="00B90A24">
        <w:rPr>
          <w:sz w:val="28"/>
          <w:szCs w:val="28"/>
        </w:rPr>
        <w:t>the lowest available</w:t>
      </w:r>
      <w:r w:rsidR="006A64B6" w:rsidRPr="00B90A24">
        <w:rPr>
          <w:sz w:val="28"/>
          <w:szCs w:val="28"/>
        </w:rPr>
        <w:t xml:space="preserve"> </w:t>
      </w:r>
      <w:r w:rsidR="00DD347B" w:rsidRPr="00B90A24">
        <w:rPr>
          <w:sz w:val="28"/>
          <w:szCs w:val="28"/>
        </w:rPr>
        <w:t xml:space="preserve">corporate income tax </w:t>
      </w:r>
      <w:r w:rsidR="006A64B6" w:rsidRPr="00B90A24">
        <w:rPr>
          <w:sz w:val="28"/>
          <w:szCs w:val="28"/>
        </w:rPr>
        <w:t>rate</w:t>
      </w:r>
      <w:r w:rsidR="00DD347B" w:rsidRPr="00B90A24">
        <w:rPr>
          <w:sz w:val="28"/>
          <w:szCs w:val="28"/>
        </w:rPr>
        <w:t xml:space="preserve"> (LACIT)</w:t>
      </w:r>
      <w:r w:rsidR="006A64B6" w:rsidRPr="00B90A24">
        <w:rPr>
          <w:sz w:val="28"/>
          <w:szCs w:val="28"/>
        </w:rPr>
        <w:t xml:space="preserve"> through legal analys</w:t>
      </w:r>
      <w:r w:rsidR="00C47191" w:rsidRPr="00B90A24">
        <w:rPr>
          <w:sz w:val="28"/>
          <w:szCs w:val="28"/>
        </w:rPr>
        <w:t>i</w:t>
      </w:r>
      <w:r w:rsidR="006A64B6" w:rsidRPr="00B90A24">
        <w:rPr>
          <w:sz w:val="28"/>
          <w:szCs w:val="28"/>
        </w:rPr>
        <w:t>s.</w:t>
      </w:r>
      <w:r w:rsidR="00AF60AC" w:rsidRPr="00B90A24">
        <w:rPr>
          <w:sz w:val="28"/>
          <w:szCs w:val="28"/>
        </w:rPr>
        <w:t xml:space="preserve"> The </w:t>
      </w:r>
      <w:r w:rsidR="00A7361F" w:rsidRPr="00B90A24">
        <w:rPr>
          <w:sz w:val="28"/>
          <w:szCs w:val="28"/>
        </w:rPr>
        <w:t>statutory</w:t>
      </w:r>
      <w:r w:rsidR="00DD347B" w:rsidRPr="00B90A24">
        <w:rPr>
          <w:sz w:val="28"/>
          <w:szCs w:val="28"/>
        </w:rPr>
        <w:t>, oft reported</w:t>
      </w:r>
      <w:r w:rsidR="00A7361F" w:rsidRPr="00B90A24">
        <w:rPr>
          <w:sz w:val="28"/>
          <w:szCs w:val="28"/>
        </w:rPr>
        <w:t xml:space="preserve"> </w:t>
      </w:r>
      <w:r w:rsidR="00AF60AC" w:rsidRPr="00B90A24">
        <w:rPr>
          <w:sz w:val="28"/>
          <w:szCs w:val="28"/>
        </w:rPr>
        <w:t xml:space="preserve">rate is corrected for any reductions </w:t>
      </w:r>
      <w:r w:rsidR="00A7361F" w:rsidRPr="00B90A24">
        <w:rPr>
          <w:sz w:val="28"/>
          <w:szCs w:val="28"/>
        </w:rPr>
        <w:t xml:space="preserve">accessible to </w:t>
      </w:r>
      <w:r w:rsidR="00AF60AC" w:rsidRPr="00B90A24">
        <w:rPr>
          <w:sz w:val="28"/>
          <w:szCs w:val="28"/>
        </w:rPr>
        <w:t xml:space="preserve">multinational companies based on the business size, sector, or state or sub-region where it operates. </w:t>
      </w:r>
      <w:r w:rsidR="0004291B" w:rsidRPr="00B90A24">
        <w:rPr>
          <w:sz w:val="28"/>
          <w:szCs w:val="28"/>
        </w:rPr>
        <w:t xml:space="preserve">Subsequently, </w:t>
      </w:r>
      <w:r w:rsidR="00115274" w:rsidRPr="00B90A24">
        <w:rPr>
          <w:sz w:val="28"/>
          <w:szCs w:val="28"/>
        </w:rPr>
        <w:t xml:space="preserve">further </w:t>
      </w:r>
      <w:r w:rsidR="00AF60AC" w:rsidRPr="00B90A24">
        <w:rPr>
          <w:sz w:val="28"/>
          <w:szCs w:val="28"/>
        </w:rPr>
        <w:t xml:space="preserve">adjustments are made for </w:t>
      </w:r>
      <w:r w:rsidR="00A812CF" w:rsidRPr="00B90A24">
        <w:rPr>
          <w:sz w:val="28"/>
          <w:szCs w:val="28"/>
        </w:rPr>
        <w:t xml:space="preserve">tax </w:t>
      </w:r>
      <w:r w:rsidR="00AF60AC" w:rsidRPr="00B90A24">
        <w:rPr>
          <w:sz w:val="28"/>
          <w:szCs w:val="28"/>
        </w:rPr>
        <w:t xml:space="preserve">reductions relating to the distribution or retention of profits, the company type, territoriality and </w:t>
      </w:r>
      <w:r w:rsidR="00655207" w:rsidRPr="00B90A24">
        <w:rPr>
          <w:sz w:val="28"/>
          <w:szCs w:val="28"/>
        </w:rPr>
        <w:t xml:space="preserve">documented </w:t>
      </w:r>
      <w:r w:rsidR="00AF60AC" w:rsidRPr="00B90A24">
        <w:rPr>
          <w:sz w:val="28"/>
          <w:szCs w:val="28"/>
        </w:rPr>
        <w:t>unilateral tax rulings. Over one-third of jurisdictions (22 of the 64) in the Corporate Tax Haven Index offer a zero per cent LACIT</w:t>
      </w:r>
      <w:r w:rsidR="008371FB" w:rsidRPr="00B90A24">
        <w:rPr>
          <w:sz w:val="28"/>
          <w:szCs w:val="28"/>
        </w:rPr>
        <w:t xml:space="preserve"> </w:t>
      </w:r>
      <w:r w:rsidR="00AF60AC" w:rsidRPr="00B90A24">
        <w:rPr>
          <w:sz w:val="28"/>
          <w:szCs w:val="28"/>
        </w:rPr>
        <w:fldChar w:fldCharType="begin"/>
      </w:r>
      <w:r w:rsidR="00B133DE" w:rsidRPr="00B90A24">
        <w:rPr>
          <w:rFonts w:cs="Times New Roman"/>
          <w:sz w:val="28"/>
          <w:szCs w:val="28"/>
        </w:rPr>
        <w:instrText xml:space="preserve"> ADDIN ZOTERO_ITEM CSL_CITATION {"citationID":"7O3kdXAx","properties":{"formattedCitation":"(Tax Justice Network, 2019j, para. 25)","plainCitation":"(Tax Justice Network, 2019j, para. 25)","noteIndex":0},"citationItems":[{"id":4254,"uris":["http://zotero.org/groups/997303/items/IRVNDPGM"],"uri":["http://zotero.org/groups/997303/items/IRVNDPGM"],"itemData":{"id":4254,"type":"report","abstract":"Researchers call for new tax rules to “tax corporations where employees work, not where ledgers hide” .","genre":"Press Release","language":"en-GB","publisher":"Tax Justice Network","title":"New ranking reveals corporate tax havens behind breakdown of global corporate tax system; toll of UK’s tax war exposed","URL":"https://www.taxjustice.net/2019/05/28/new-ranking-reveals-corporate-tax-havens-behind-breakdown-of-global-corporate-tax-system-toll-of-uks-tax-war-exposed/, https://www.taxjustice.net/2019/05/28/new-ranking-reveals-corporate-tax-havens-behind-breakdown-of-global-corporate-tax-system-toll-of-uks-tax-war-exposed/","author":[{"family":"Tax Justice Network","given":""}],"accessed":{"date-parts":[["2019",6,5]]},"issued":{"date-parts":[["2019",5,28]]}},"locator":"25","label":"paragraph"}],"schema":"https://github.com/citation-style-language/schema/raw/master/csl-citation.json"} </w:instrText>
      </w:r>
      <w:r w:rsidR="00AF60AC" w:rsidRPr="00B90A24">
        <w:rPr>
          <w:sz w:val="28"/>
          <w:szCs w:val="28"/>
        </w:rPr>
        <w:fldChar w:fldCharType="separate"/>
      </w:r>
      <w:r w:rsidR="00B133DE" w:rsidRPr="00B90A24">
        <w:rPr>
          <w:rFonts w:cs="Times New Roman"/>
          <w:sz w:val="28"/>
          <w:szCs w:val="28"/>
        </w:rPr>
        <w:t>(Tax Justice Network, 2019j, para. 25)</w:t>
      </w:r>
      <w:r w:rsidR="00AF60AC" w:rsidRPr="00B90A24">
        <w:rPr>
          <w:sz w:val="28"/>
          <w:szCs w:val="28"/>
        </w:rPr>
        <w:fldChar w:fldCharType="end"/>
      </w:r>
      <w:r w:rsidR="008371FB" w:rsidRPr="00B90A24">
        <w:rPr>
          <w:sz w:val="28"/>
          <w:szCs w:val="28"/>
        </w:rPr>
        <w:t>.</w:t>
      </w:r>
      <w:r w:rsidR="00AF60AC" w:rsidRPr="00B90A24">
        <w:rPr>
          <w:sz w:val="28"/>
          <w:szCs w:val="28"/>
        </w:rPr>
        <w:t xml:space="preserve"> </w:t>
      </w:r>
    </w:p>
    <w:p w14:paraId="3EFF2CEC" w14:textId="77777777" w:rsidR="00745F35" w:rsidRPr="00B90A24" w:rsidRDefault="00745F35" w:rsidP="00B90A24">
      <w:pPr>
        <w:spacing w:after="0" w:line="240" w:lineRule="auto"/>
        <w:ind w:left="567" w:right="1031"/>
        <w:jc w:val="both"/>
        <w:rPr>
          <w:sz w:val="28"/>
          <w:szCs w:val="28"/>
        </w:rPr>
      </w:pPr>
    </w:p>
    <w:p w14:paraId="1440D81C" w14:textId="179E105D" w:rsidR="00745F35" w:rsidRPr="00B90A24" w:rsidRDefault="00AF60AC" w:rsidP="00B90A24">
      <w:pPr>
        <w:spacing w:after="0" w:line="240" w:lineRule="auto"/>
        <w:ind w:left="567" w:right="1031"/>
        <w:jc w:val="both"/>
        <w:rPr>
          <w:rFonts w:cs="Calibri"/>
          <w:color w:val="000000"/>
          <w:sz w:val="28"/>
          <w:szCs w:val="28"/>
          <w:shd w:val="clear" w:color="auto" w:fill="FFFFFF"/>
        </w:rPr>
      </w:pPr>
      <w:r w:rsidRPr="00B90A24">
        <w:rPr>
          <w:sz w:val="28"/>
          <w:szCs w:val="28"/>
        </w:rPr>
        <w:t xml:space="preserve">In Africa, Mauritius and the Seychelles offer a zero per cent </w:t>
      </w:r>
      <w:r w:rsidR="00C47191" w:rsidRPr="00B90A24">
        <w:rPr>
          <w:sz w:val="28"/>
          <w:szCs w:val="28"/>
        </w:rPr>
        <w:t>LACIT</w:t>
      </w:r>
      <w:r w:rsidRPr="00B90A24">
        <w:rPr>
          <w:sz w:val="28"/>
          <w:szCs w:val="28"/>
        </w:rPr>
        <w:t xml:space="preserve">, which is much lower than the statutory tax rate of 15 and 30 per cent, respectively, as shown in </w:t>
      </w:r>
      <w:r w:rsidRPr="00B90A24">
        <w:rPr>
          <w:sz w:val="28"/>
          <w:szCs w:val="28"/>
        </w:rPr>
        <w:fldChar w:fldCharType="begin"/>
      </w:r>
      <w:r w:rsidRPr="00B90A24">
        <w:rPr>
          <w:sz w:val="28"/>
          <w:szCs w:val="28"/>
        </w:rPr>
        <w:instrText xml:space="preserve"> REF _Ref10621664 \h </w:instrText>
      </w:r>
      <w:r w:rsidR="00691B5B" w:rsidRPr="00B90A24">
        <w:rPr>
          <w:sz w:val="28"/>
          <w:szCs w:val="28"/>
        </w:rPr>
        <w:instrText xml:space="preserve"> \* MERGEFORMAT </w:instrText>
      </w:r>
      <w:r w:rsidRPr="00B90A24">
        <w:rPr>
          <w:sz w:val="28"/>
          <w:szCs w:val="28"/>
        </w:rPr>
      </w:r>
      <w:r w:rsidRPr="00B90A24">
        <w:rPr>
          <w:sz w:val="28"/>
          <w:szCs w:val="28"/>
        </w:rPr>
        <w:fldChar w:fldCharType="separate"/>
      </w:r>
      <w:r w:rsidR="00B122C4" w:rsidRPr="00B90A24">
        <w:rPr>
          <w:sz w:val="28"/>
          <w:szCs w:val="28"/>
        </w:rPr>
        <w:t>Figure 4</w:t>
      </w:r>
      <w:r w:rsidRPr="00B90A24">
        <w:rPr>
          <w:sz w:val="28"/>
          <w:szCs w:val="28"/>
        </w:rPr>
        <w:fldChar w:fldCharType="end"/>
      </w:r>
      <w:r w:rsidRPr="00B90A24">
        <w:rPr>
          <w:sz w:val="28"/>
          <w:szCs w:val="28"/>
        </w:rPr>
        <w:t>.</w:t>
      </w:r>
      <w:r w:rsidR="0008460C" w:rsidRPr="00B90A24">
        <w:rPr>
          <w:sz w:val="28"/>
          <w:szCs w:val="28"/>
        </w:rPr>
        <w:t xml:space="preserve"> </w:t>
      </w:r>
      <w:r w:rsidR="00FC1278" w:rsidRPr="00B90A24">
        <w:rPr>
          <w:rFonts w:cs="Calibri"/>
          <w:color w:val="000000"/>
          <w:sz w:val="28"/>
          <w:szCs w:val="28"/>
          <w:shd w:val="clear" w:color="auto" w:fill="FFFFFF"/>
        </w:rPr>
        <w:t>For example, while Mauritius usually records a 15 per cent statutory corporate income tax rate, its legal framework continues to enable tax-exempt companies to be established. The Global Business License company regime is in the process of being amended,</w:t>
      </w:r>
      <w:r w:rsidR="00FC1278" w:rsidRPr="00B90A24">
        <w:rPr>
          <w:rStyle w:val="FootnoteReference"/>
          <w:sz w:val="28"/>
          <w:szCs w:val="28"/>
        </w:rPr>
        <w:footnoteReference w:id="12"/>
      </w:r>
      <w:r w:rsidR="00FC1278" w:rsidRPr="00B90A24">
        <w:rPr>
          <w:rFonts w:cs="Calibri"/>
          <w:color w:val="000000"/>
          <w:sz w:val="28"/>
          <w:szCs w:val="28"/>
          <w:shd w:val="clear" w:color="auto" w:fill="FFFFFF"/>
        </w:rPr>
        <w:t xml:space="preserve"> but Mauritius allows so-called authorised companies to be taxed on a territorial basis</w:t>
      </w:r>
      <w:r w:rsidR="008371FB" w:rsidRPr="00B90A24">
        <w:rPr>
          <w:rFonts w:cs="Calibri"/>
          <w:color w:val="000000"/>
          <w:sz w:val="28"/>
          <w:szCs w:val="28"/>
          <w:shd w:val="clear" w:color="auto" w:fill="FFFFFF"/>
        </w:rPr>
        <w:t xml:space="preserve"> </w:t>
      </w:r>
      <w:r w:rsidRPr="00B90A24">
        <w:rPr>
          <w:rFonts w:cstheme="minorHAnsi"/>
          <w:sz w:val="28"/>
          <w:szCs w:val="28"/>
        </w:rPr>
        <w:fldChar w:fldCharType="begin"/>
      </w:r>
      <w:r w:rsidR="00500851" w:rsidRPr="00B90A24">
        <w:rPr>
          <w:rFonts w:cs="Times New Roman"/>
          <w:sz w:val="28"/>
          <w:szCs w:val="28"/>
        </w:rPr>
        <w:instrText xml:space="preserve"> ADDIN ZOTERO_ITEM CSL_CITATION {"citationID":"RTKOEuov","properties":{"formattedCitation":"(PricewaterhouseCoopers (PWC), 2018)","plainCitation":"(PricewaterhouseCoopers (PWC), 2018)","dontUpdate":true,"noteIndex":0},"citationItems":[{"id":4113,"uris":["http://zotero.org/groups/997303/items/VIVHQVU8"],"uri":["http://zotero.org/groups/997303/items/VIVHQVU8"],"itemData":{"id":4113,"type":"webpage","abstract":"Detailed description of corporate tax credits and incentives in Mauritius","container-title":"PWC Worldwide Tax Summaries","title":"Mauritius - Corporate tax credits and incentives","URL":"http://taxsummaries.pwc.com/uk/taxsummaries/wwts.nsf/ID/Mauritius-Corporate-Tax-credits-and-incentives","author":[{"literal":"PricewaterhouseCoopers (PWC)"}],"accessed":{"date-parts":[["2019",5,21]]},"issued":{"date-parts":[["2018",11,16]]}}}],"schema":"https://github.com/citation-style-language/schema/raw/master/csl-citation.json"} </w:instrText>
      </w:r>
      <w:r w:rsidRPr="00B90A24">
        <w:rPr>
          <w:rFonts w:cstheme="minorHAnsi"/>
          <w:sz w:val="28"/>
          <w:szCs w:val="28"/>
        </w:rPr>
        <w:fldChar w:fldCharType="separate"/>
      </w:r>
      <w:r w:rsidRPr="00B90A24">
        <w:rPr>
          <w:rFonts w:cs="Times New Roman"/>
          <w:sz w:val="28"/>
          <w:szCs w:val="28"/>
        </w:rPr>
        <w:t>(PricewaterhouseCoopers, 2018)</w:t>
      </w:r>
      <w:r w:rsidRPr="00B90A24">
        <w:rPr>
          <w:rFonts w:cstheme="minorHAnsi"/>
          <w:sz w:val="28"/>
          <w:szCs w:val="28"/>
        </w:rPr>
        <w:fldChar w:fldCharType="end"/>
      </w:r>
      <w:r w:rsidR="008371FB" w:rsidRPr="00B90A24">
        <w:rPr>
          <w:rFonts w:cstheme="minorHAnsi"/>
          <w:sz w:val="28"/>
          <w:szCs w:val="28"/>
        </w:rPr>
        <w:t>.</w:t>
      </w:r>
      <w:r w:rsidR="00FC1278" w:rsidRPr="00B90A24">
        <w:rPr>
          <w:rFonts w:cs="Calibri"/>
          <w:color w:val="000000"/>
          <w:sz w:val="28"/>
          <w:szCs w:val="28"/>
          <w:shd w:val="clear" w:color="auto" w:fill="FFFFFF"/>
        </w:rPr>
        <w:t xml:space="preserve"> </w:t>
      </w:r>
      <w:r w:rsidR="002B39EA" w:rsidRPr="00B90A24">
        <w:rPr>
          <w:rFonts w:cs="Calibri"/>
          <w:color w:val="000000"/>
          <w:sz w:val="28"/>
          <w:szCs w:val="28"/>
          <w:shd w:val="clear" w:color="auto" w:fill="FFFFFF"/>
        </w:rPr>
        <w:t>A</w:t>
      </w:r>
      <w:r w:rsidR="00FC1278" w:rsidRPr="00B90A24">
        <w:rPr>
          <w:rFonts w:cs="Calibri"/>
          <w:color w:val="000000"/>
          <w:sz w:val="28"/>
          <w:szCs w:val="28"/>
          <w:shd w:val="clear" w:color="auto" w:fill="FFFFFF"/>
        </w:rPr>
        <w:t xml:space="preserve">uthorised companies are not technically tax exempt, </w:t>
      </w:r>
      <w:r w:rsidR="002B39EA" w:rsidRPr="00B90A24">
        <w:rPr>
          <w:rFonts w:cs="Calibri"/>
          <w:color w:val="000000"/>
          <w:sz w:val="28"/>
          <w:szCs w:val="28"/>
          <w:shd w:val="clear" w:color="auto" w:fill="FFFFFF"/>
        </w:rPr>
        <w:t xml:space="preserve">yet </w:t>
      </w:r>
      <w:r w:rsidR="00FC1278" w:rsidRPr="00B90A24">
        <w:rPr>
          <w:rFonts w:cs="Calibri"/>
          <w:color w:val="000000"/>
          <w:sz w:val="28"/>
          <w:szCs w:val="28"/>
          <w:shd w:val="clear" w:color="auto" w:fill="FFFFFF"/>
        </w:rPr>
        <w:t>they are considered non-resident for tax purposes and therefore do not fall within the scope of Mauritius’ corporate income tax</w:t>
      </w:r>
      <w:r w:rsidR="004603C9" w:rsidRPr="00B90A24">
        <w:rPr>
          <w:rFonts w:cs="Calibri"/>
          <w:color w:val="000000"/>
          <w:sz w:val="28"/>
          <w:szCs w:val="28"/>
          <w:shd w:val="clear" w:color="auto" w:fill="FFFFFF"/>
        </w:rPr>
        <w:t xml:space="preserve"> </w:t>
      </w:r>
      <w:r w:rsidRPr="00B90A24">
        <w:rPr>
          <w:rFonts w:cstheme="minorHAnsi"/>
          <w:sz w:val="28"/>
          <w:szCs w:val="28"/>
        </w:rPr>
        <w:fldChar w:fldCharType="begin"/>
      </w:r>
      <w:r w:rsidR="00500851" w:rsidRPr="00B90A24">
        <w:rPr>
          <w:rFonts w:cs="Times New Roman"/>
          <w:sz w:val="28"/>
          <w:szCs w:val="28"/>
        </w:rPr>
        <w:instrText xml:space="preserve"> ADDIN ZOTERO_ITEM CSL_CITATION {"citationID":"JyS53uc2","properties":{"formattedCitation":"(Ernst &amp; Young, 2018)","plainCitation":"(Ernst &amp; Young, 2018)","noteIndex":0},"citationItems":[{"id":3743,"uris":["http://zotero.org/groups/997303/items/UUEHF6GN"],"uri":["http://zotero.org/groups/997303/items/UUEHF6GN"],"itemData":{"id":3743,"type":"report","collection-title":"Global Tax Alert","title":"Mauritius enacts changes to tax regime for corporations with global business licenses","URL":"https://www.ey.com/Publication/vwLUAssets/Mauritius_enacts_changes_to_tax_regime_for_corporations_with_global_business_licenses/$FILE/2018G_010429-18Gbl_Mauritius%20-%20Changes%20to%20tax%20regime%20for%20corps%20with%20global%20business%20licenses.pdf","author":[{"literal":"Ernst &amp; Young"}],"accessed":{"date-parts":[["2019",4,1]]},"issued":{"date-parts":[["2018",8,17]]}}}],"schema":"https://github.com/citation-style-language/schema/raw/master/csl-citation.json"} </w:instrText>
      </w:r>
      <w:r w:rsidRPr="00B90A24">
        <w:rPr>
          <w:rFonts w:cstheme="minorHAnsi"/>
          <w:sz w:val="28"/>
          <w:szCs w:val="28"/>
        </w:rPr>
        <w:fldChar w:fldCharType="separate"/>
      </w:r>
      <w:r w:rsidR="00B133DE" w:rsidRPr="00B90A24">
        <w:rPr>
          <w:rFonts w:cs="Times New Roman"/>
          <w:sz w:val="28"/>
          <w:szCs w:val="28"/>
        </w:rPr>
        <w:t>(Ernst &amp; Young, 2018)</w:t>
      </w:r>
      <w:r w:rsidRPr="00B90A24">
        <w:rPr>
          <w:rFonts w:cstheme="minorHAnsi"/>
          <w:sz w:val="28"/>
          <w:szCs w:val="28"/>
        </w:rPr>
        <w:fldChar w:fldCharType="end"/>
      </w:r>
      <w:r w:rsidR="004603C9" w:rsidRPr="00B90A24">
        <w:rPr>
          <w:rFonts w:cstheme="minorHAnsi"/>
          <w:sz w:val="28"/>
          <w:szCs w:val="28"/>
        </w:rPr>
        <w:t>.</w:t>
      </w:r>
      <w:r w:rsidR="00FC1278" w:rsidRPr="00B90A24">
        <w:rPr>
          <w:rFonts w:cs="Calibri"/>
          <w:color w:val="000000"/>
          <w:sz w:val="28"/>
          <w:szCs w:val="28"/>
          <w:shd w:val="clear" w:color="auto" w:fill="FFFFFF"/>
        </w:rPr>
        <w:t xml:space="preserve"> </w:t>
      </w:r>
    </w:p>
    <w:p w14:paraId="600A6216" w14:textId="77777777" w:rsidR="00745F35" w:rsidRPr="00B90A24" w:rsidRDefault="00745F35" w:rsidP="00B90A24">
      <w:pPr>
        <w:spacing w:after="0" w:line="240" w:lineRule="auto"/>
        <w:ind w:left="567" w:right="1031"/>
        <w:jc w:val="both"/>
        <w:rPr>
          <w:rFonts w:cs="Calibri"/>
          <w:color w:val="000000"/>
          <w:sz w:val="28"/>
          <w:szCs w:val="28"/>
          <w:shd w:val="clear" w:color="auto" w:fill="FFFFFF"/>
        </w:rPr>
      </w:pPr>
    </w:p>
    <w:p w14:paraId="3093577C" w14:textId="1522C00A" w:rsidR="00C47191" w:rsidRPr="00B90A24" w:rsidRDefault="00FC1278" w:rsidP="00B90A24">
      <w:pPr>
        <w:spacing w:after="0" w:line="240" w:lineRule="auto"/>
        <w:ind w:left="567" w:right="1031"/>
        <w:jc w:val="both"/>
        <w:rPr>
          <w:sz w:val="28"/>
          <w:szCs w:val="28"/>
        </w:rPr>
      </w:pPr>
      <w:r w:rsidRPr="00B90A24">
        <w:rPr>
          <w:rFonts w:cs="Calibri"/>
          <w:color w:val="000000"/>
          <w:sz w:val="28"/>
          <w:szCs w:val="28"/>
          <w:shd w:val="clear" w:color="auto" w:fill="FFFFFF"/>
        </w:rPr>
        <w:t xml:space="preserve">Thus, as long as these Mauritius-incorporated companies are only engaged in foreign operations, they are fully exempt from tax. </w:t>
      </w:r>
      <w:r w:rsidRPr="00B90A24">
        <w:rPr>
          <w:color w:val="000000" w:themeColor="text1"/>
          <w:sz w:val="28"/>
          <w:szCs w:val="28"/>
        </w:rPr>
        <w:t xml:space="preserve">These companies are barred from </w:t>
      </w:r>
      <w:r w:rsidR="00573925" w:rsidRPr="00B90A24">
        <w:rPr>
          <w:color w:val="000000" w:themeColor="text1"/>
          <w:sz w:val="28"/>
          <w:szCs w:val="28"/>
        </w:rPr>
        <w:t xml:space="preserve">providing specific </w:t>
      </w:r>
      <w:r w:rsidRPr="00B90A24">
        <w:rPr>
          <w:rFonts w:cstheme="minorHAnsi"/>
          <w:sz w:val="28"/>
          <w:szCs w:val="28"/>
        </w:rPr>
        <w:t xml:space="preserve">financial services </w:t>
      </w:r>
      <w:r w:rsidRPr="00B90A24">
        <w:rPr>
          <w:color w:val="000000" w:themeColor="text1"/>
          <w:sz w:val="28"/>
          <w:szCs w:val="28"/>
        </w:rPr>
        <w:t>but can otherwise operate in any other economic sector</w:t>
      </w:r>
      <w:r w:rsidR="004603C9" w:rsidRPr="00B90A24">
        <w:rPr>
          <w:color w:val="000000" w:themeColor="text1"/>
          <w:sz w:val="28"/>
          <w:szCs w:val="28"/>
        </w:rPr>
        <w:t xml:space="preserve"> </w:t>
      </w:r>
      <w:r w:rsidR="00AF60AC" w:rsidRPr="00B90A24">
        <w:rPr>
          <w:rFonts w:cstheme="minorHAnsi"/>
          <w:sz w:val="28"/>
          <w:szCs w:val="28"/>
        </w:rPr>
        <w:fldChar w:fldCharType="begin"/>
      </w:r>
      <w:r w:rsidR="00500851" w:rsidRPr="00B90A24">
        <w:rPr>
          <w:rFonts w:cs="Times New Roman"/>
          <w:sz w:val="28"/>
          <w:szCs w:val="28"/>
        </w:rPr>
        <w:instrText xml:space="preserve"> ADDIN ZOTERO_ITEM CSL_CITATION {"citationID":"Le7cJtiy","properties":{"formattedCitation":"(PricewaterhouseCoopers (PWC), 2018)","plainCitation":"(PricewaterhouseCoopers (PWC), 2018)","dontUpdate":true,"noteIndex":0},"citationItems":[{"id":4113,"uris":["http://zotero.org/groups/997303/items/VIVHQVU8"],"uri":["http://zotero.org/groups/997303/items/VIVHQVU8"],"itemData":{"id":4113,"type":"webpage","abstract":"Detailed description of corporate tax credits and incentives in Mauritius","container-title":"PWC Worldwide Tax Summaries","title":"Mauritius - Corporate tax credits and incentives","URL":"http://taxsummaries.pwc.com/uk/taxsummaries/wwts.nsf/ID/Mauritius-Corporate-Tax-credits-and-incentives","author":[{"literal":"PricewaterhouseCoopers (PWC)"}],"accessed":{"date-parts":[["2019",5,21]]},"issued":{"date-parts":[["2018",11,16]]}}}],"schema":"https://github.com/citation-style-language/schema/raw/master/csl-citation.json"} </w:instrText>
      </w:r>
      <w:r w:rsidR="00AF60AC" w:rsidRPr="00B90A24">
        <w:rPr>
          <w:rFonts w:cstheme="minorHAnsi"/>
          <w:sz w:val="28"/>
          <w:szCs w:val="28"/>
        </w:rPr>
        <w:fldChar w:fldCharType="separate"/>
      </w:r>
      <w:r w:rsidR="00AF60AC" w:rsidRPr="00B90A24">
        <w:rPr>
          <w:rFonts w:cs="Times New Roman"/>
          <w:sz w:val="28"/>
          <w:szCs w:val="28"/>
        </w:rPr>
        <w:t>(PricewaterhouseCoopers, 2018)</w:t>
      </w:r>
      <w:r w:rsidR="00AF60AC" w:rsidRPr="00B90A24">
        <w:rPr>
          <w:rFonts w:cstheme="minorHAnsi"/>
          <w:sz w:val="28"/>
          <w:szCs w:val="28"/>
        </w:rPr>
        <w:fldChar w:fldCharType="end"/>
      </w:r>
      <w:r w:rsidR="004603C9" w:rsidRPr="00B90A24">
        <w:rPr>
          <w:rFonts w:cstheme="minorHAnsi"/>
          <w:sz w:val="28"/>
          <w:szCs w:val="28"/>
        </w:rPr>
        <w:t>.</w:t>
      </w:r>
      <w:r w:rsidRPr="00B90A24">
        <w:rPr>
          <w:color w:val="000000" w:themeColor="text1"/>
          <w:sz w:val="28"/>
          <w:szCs w:val="28"/>
        </w:rPr>
        <w:t xml:space="preserve"> As a result, the </w:t>
      </w:r>
      <w:r w:rsidR="007448BC" w:rsidRPr="00B90A24">
        <w:rPr>
          <w:color w:val="000000" w:themeColor="text1"/>
          <w:sz w:val="28"/>
          <w:szCs w:val="28"/>
        </w:rPr>
        <w:t>LACIT</w:t>
      </w:r>
      <w:r w:rsidRPr="00B90A24">
        <w:rPr>
          <w:color w:val="000000" w:themeColor="text1"/>
          <w:sz w:val="28"/>
          <w:szCs w:val="28"/>
        </w:rPr>
        <w:t xml:space="preserve"> is recorded as zero per cent.</w:t>
      </w:r>
      <w:r w:rsidRPr="00B90A24">
        <w:rPr>
          <w:noProof/>
          <w:sz w:val="28"/>
          <w:szCs w:val="28"/>
        </w:rPr>
        <w:t xml:space="preserve"> </w:t>
      </w:r>
      <w:r w:rsidR="008D0036" w:rsidRPr="00B90A24">
        <w:rPr>
          <w:noProof/>
          <w:sz w:val="28"/>
          <w:szCs w:val="28"/>
        </w:rPr>
        <w:t>This is highly problematic given Mauritius’ extensive treaty network</w:t>
      </w:r>
      <w:r w:rsidR="006A25E8" w:rsidRPr="00B90A24">
        <w:rPr>
          <w:noProof/>
          <w:sz w:val="28"/>
          <w:szCs w:val="28"/>
        </w:rPr>
        <w:t xml:space="preserve">, discussed at more length in </w:t>
      </w:r>
      <w:r w:rsidR="00E05FC1" w:rsidRPr="00B90A24">
        <w:rPr>
          <w:noProof/>
          <w:sz w:val="28"/>
          <w:szCs w:val="28"/>
        </w:rPr>
        <w:t>section</w:t>
      </w:r>
      <w:r w:rsidR="006A25E8" w:rsidRPr="00B90A24">
        <w:rPr>
          <w:noProof/>
          <w:sz w:val="28"/>
          <w:szCs w:val="28"/>
        </w:rPr>
        <w:t xml:space="preserve"> 3.5, </w:t>
      </w:r>
      <w:r w:rsidR="008D0036" w:rsidRPr="00B90A24">
        <w:rPr>
          <w:noProof/>
          <w:sz w:val="28"/>
          <w:szCs w:val="28"/>
        </w:rPr>
        <w:t xml:space="preserve"> resulting in revenue losses for </w:t>
      </w:r>
      <w:r w:rsidR="006A25E8" w:rsidRPr="00B90A24">
        <w:rPr>
          <w:noProof/>
          <w:sz w:val="28"/>
          <w:szCs w:val="28"/>
        </w:rPr>
        <w:t xml:space="preserve">other sub-Saharan African countries </w:t>
      </w:r>
      <w:r w:rsidR="006A25E8" w:rsidRPr="00B90A24">
        <w:rPr>
          <w:noProof/>
          <w:sz w:val="28"/>
          <w:szCs w:val="28"/>
        </w:rPr>
        <w:fldChar w:fldCharType="begin"/>
      </w:r>
      <w:r w:rsidR="00500851" w:rsidRPr="00B90A24">
        <w:rPr>
          <w:noProof/>
          <w:sz w:val="28"/>
          <w:szCs w:val="28"/>
        </w:rPr>
        <w:instrText xml:space="preserve"> ADDIN ZOTERO_ITEM CSL_CITATION {"citationID":"fuGnFhfv","properties":{"formattedCitation":"(Beer &amp; Loeprick, 2018; Picciotto, 2019)","plainCitation":"(Beer &amp; Loeprick, 2018; Picciotto, 2019)","noteIndex":0},"citationItems":[{"id":4141,"uris":["http://zotero.org/groups/997303/items/9UZDRSKW"],"uri":["http://zotero.org/groups/997303/items/9UZDRSKW"],"itemData":{"id":4141,"type":"report","abstract":"This paper investigates the costs and benefits of concluding double tax treaties with investment hubs.  Based on a sample of 41 African economies from 1985–2015, the results suggest that signing treaties with investment hubs is not associated with additional investments; yet, these treaties tend to come with nonnegligible revenue losses. Building on a theoretical model, the paper investigates the role of treaty shopping in driving nominal investment flows and provides indirect evidence for its importance in the sample","language":"en","title":"The Cost and Benefits of Tax Treaties with Investment Hubs: Findings from Sub-Saharan Africa","title-short":"The Cost and Benefits of Tax Treaties with Investment Hubs","URL":"https://www.imf.org/en/Publications/WP/Issues/2018/10/24/The-Cost-and-Benefits-of-Tax-Treaties-with-Investment-Hubs-Findings-from-Sub-Saharan-Africa-46264","author":[{"family":"Beer","given":"Sebastian"},{"family":"Loeprick","given":"Jan"}],"accessed":{"date-parts":[["2019",5,24]]},"issued":{"date-parts":[["2018",10,24]]}}},{"id":5886,"uris":["http://zotero.org/groups/997303/items/J75EX8PL"],"uri":["http://zotero.org/groups/997303/items/J75EX8PL"],"itemData":{"id":5886,"type":"article-journal","abstract":"International tax rules and norms interact in complex ways with national law, mediated by the professional practices and techniques of lawyers and other tax advisers and practitioners. The current controversy over the proposed tax treaty between Kenya and Mauritius illustrates some of the features of these practices, as well as the policy issues at stake for both the fairness and effectiveness of taxation and the effects of tax treaties on international investment. A clearer understanding of these issues can greatly facilitate public debate on both the role of tax treaties and the current efforts to reform international tax rules.","container-title":"Financing for Development","ISSN":"2664-1968","issue":"1","language":"en","note":"number: 1","source":"uonjournals.uonbi.ac.ke","title":"The interactions of national and international tax law and the Kenya-Mauritius Tax Treaty","URL":"http://uonjournals.uonbi.ac.ke/ojs/index.php/ffd/article/view/251","volume":"1","author":[{"family":"Picciotto","given":"Sol"}],"accessed":{"date-parts":[["2020",6,10]]},"issued":{"date-parts":[["2019",8,21]]}}}],"schema":"https://github.com/citation-style-language/schema/raw/master/csl-citation.json"} </w:instrText>
      </w:r>
      <w:r w:rsidR="006A25E8" w:rsidRPr="00B90A24">
        <w:rPr>
          <w:noProof/>
          <w:sz w:val="28"/>
          <w:szCs w:val="28"/>
        </w:rPr>
        <w:fldChar w:fldCharType="separate"/>
      </w:r>
      <w:r w:rsidR="00B133DE" w:rsidRPr="00B90A24">
        <w:rPr>
          <w:rFonts w:cs="Times New Roman"/>
          <w:sz w:val="28"/>
          <w:szCs w:val="28"/>
        </w:rPr>
        <w:t>(Beer &amp; Loeprick, 2018; Picciotto, 2019)</w:t>
      </w:r>
      <w:r w:rsidR="006A25E8" w:rsidRPr="00B90A24">
        <w:rPr>
          <w:noProof/>
          <w:sz w:val="28"/>
          <w:szCs w:val="28"/>
        </w:rPr>
        <w:fldChar w:fldCharType="end"/>
      </w:r>
      <w:r w:rsidR="006A25E8" w:rsidRPr="00B90A24">
        <w:rPr>
          <w:noProof/>
          <w:sz w:val="28"/>
          <w:szCs w:val="28"/>
        </w:rPr>
        <w:t>.</w:t>
      </w:r>
      <w:r w:rsidR="008D0036" w:rsidRPr="00B90A24">
        <w:rPr>
          <w:noProof/>
          <w:sz w:val="28"/>
          <w:szCs w:val="28"/>
        </w:rPr>
        <w:t xml:space="preserve"> </w:t>
      </w:r>
    </w:p>
    <w:p w14:paraId="2EB34F61" w14:textId="77777777" w:rsidR="00A9558A" w:rsidRPr="00B90A24" w:rsidRDefault="00A9558A" w:rsidP="00B90A24">
      <w:pPr>
        <w:spacing w:after="0" w:line="240" w:lineRule="auto"/>
        <w:jc w:val="both"/>
        <w:rPr>
          <w:noProof/>
          <w:sz w:val="28"/>
          <w:szCs w:val="28"/>
        </w:rPr>
      </w:pPr>
    </w:p>
    <w:tbl>
      <w:tblPr>
        <w:tblW w:w="899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615"/>
        <w:gridCol w:w="1440"/>
        <w:gridCol w:w="1405"/>
        <w:gridCol w:w="1565"/>
        <w:gridCol w:w="1440"/>
        <w:gridCol w:w="1530"/>
      </w:tblGrid>
      <w:tr w:rsidR="00C47191" w:rsidRPr="00B90A24" w14:paraId="734B4179" w14:textId="77777777" w:rsidTr="00883811">
        <w:trPr>
          <w:trHeight w:val="284"/>
          <w:jc w:val="center"/>
        </w:trPr>
        <w:tc>
          <w:tcPr>
            <w:tcW w:w="8995" w:type="dxa"/>
            <w:gridSpan w:val="6"/>
            <w:shd w:val="clear" w:color="auto" w:fill="auto"/>
            <w:vAlign w:val="center"/>
          </w:tcPr>
          <w:p w14:paraId="1F900637" w14:textId="77777777" w:rsidR="00C47191" w:rsidRPr="00B90A24" w:rsidRDefault="00C47191" w:rsidP="00B90A24">
            <w:pPr>
              <w:spacing w:after="0" w:line="240" w:lineRule="auto"/>
              <w:ind w:left="-110" w:right="-110"/>
              <w:rPr>
                <w:rFonts w:eastAsia="Times New Roman" w:cs="Times New Roman"/>
                <w:sz w:val="28"/>
                <w:szCs w:val="28"/>
                <w:lang w:eastAsia="en-GB"/>
              </w:rPr>
            </w:pPr>
            <w:r w:rsidRPr="00B90A24">
              <w:rPr>
                <w:rFonts w:cs="Times New Roman"/>
                <w:noProof/>
                <w:sz w:val="28"/>
                <w:szCs w:val="28"/>
              </w:rPr>
              <w:lastRenderedPageBreak/>
              <w:drawing>
                <wp:inline distT="0" distB="0" distL="0" distR="0" wp14:anchorId="2240CD39" wp14:editId="29E466D7">
                  <wp:extent cx="5528603" cy="3149600"/>
                  <wp:effectExtent l="0" t="0" r="0" b="0"/>
                  <wp:docPr id="6" name="Chart 6">
                    <a:extLst xmlns:a="http://schemas.openxmlformats.org/drawingml/2006/main">
                      <a:ext uri="{FF2B5EF4-FFF2-40B4-BE49-F238E27FC236}">
                        <a16:creationId xmlns:a16="http://schemas.microsoft.com/office/drawing/2014/main" id="{78B7ADD6-E686-48DD-A45B-8AD24E13FB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C47191" w:rsidRPr="00B90A24" w14:paraId="131B8818" w14:textId="77777777" w:rsidTr="00883811">
        <w:trPr>
          <w:trHeight w:val="284"/>
          <w:jc w:val="center"/>
        </w:trPr>
        <w:tc>
          <w:tcPr>
            <w:tcW w:w="1615" w:type="dxa"/>
            <w:shd w:val="clear" w:color="000000" w:fill="C00000"/>
            <w:vAlign w:val="center"/>
            <w:hideMark/>
          </w:tcPr>
          <w:p w14:paraId="291BA277" w14:textId="77777777" w:rsidR="00C47191" w:rsidRPr="00B90A24" w:rsidRDefault="00C47191"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Maximum Risk</w:t>
            </w:r>
            <w:r w:rsidRPr="00B90A24">
              <w:rPr>
                <w:rFonts w:eastAsia="Times New Roman" w:cs="Times New Roman"/>
                <w:sz w:val="28"/>
                <w:szCs w:val="28"/>
                <w:lang w:eastAsia="en-GB"/>
              </w:rPr>
              <w:br/>
              <w:t>LACIT 0%</w:t>
            </w:r>
          </w:p>
        </w:tc>
        <w:tc>
          <w:tcPr>
            <w:tcW w:w="1440" w:type="dxa"/>
            <w:shd w:val="clear" w:color="000000" w:fill="EC7524"/>
            <w:vAlign w:val="center"/>
            <w:hideMark/>
          </w:tcPr>
          <w:p w14:paraId="24346B1A" w14:textId="77777777" w:rsidR="00C47191" w:rsidRPr="00B90A24" w:rsidRDefault="00C47191"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LACIT Rate between 0 and 8.8%</w:t>
            </w:r>
          </w:p>
        </w:tc>
        <w:tc>
          <w:tcPr>
            <w:tcW w:w="1405" w:type="dxa"/>
            <w:shd w:val="clear" w:color="000000" w:fill="FCAF32"/>
            <w:vAlign w:val="center"/>
            <w:hideMark/>
          </w:tcPr>
          <w:p w14:paraId="09FD7CF2" w14:textId="77777777" w:rsidR="00C47191" w:rsidRPr="00B90A24" w:rsidRDefault="00C47191"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 xml:space="preserve">LACIT Rate between 8.9 and 17.4%  </w:t>
            </w:r>
          </w:p>
        </w:tc>
        <w:tc>
          <w:tcPr>
            <w:tcW w:w="1565" w:type="dxa"/>
            <w:shd w:val="clear" w:color="000000" w:fill="EBE60B"/>
            <w:vAlign w:val="center"/>
            <w:hideMark/>
          </w:tcPr>
          <w:p w14:paraId="5CAF01BD" w14:textId="77777777" w:rsidR="00C47191" w:rsidRPr="00B90A24" w:rsidRDefault="00C47191"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LACIT Rate between</w:t>
            </w:r>
            <w:r w:rsidRPr="00B90A24">
              <w:rPr>
                <w:rFonts w:eastAsia="Times New Roman" w:cs="Times New Roman"/>
                <w:sz w:val="28"/>
                <w:szCs w:val="28"/>
                <w:lang w:eastAsia="en-GB"/>
              </w:rPr>
              <w:br/>
              <w:t>17.5 and 26.2%</w:t>
            </w:r>
          </w:p>
        </w:tc>
        <w:tc>
          <w:tcPr>
            <w:tcW w:w="1440" w:type="dxa"/>
            <w:shd w:val="clear" w:color="000000" w:fill="8FBF49"/>
            <w:vAlign w:val="center"/>
            <w:hideMark/>
          </w:tcPr>
          <w:p w14:paraId="40E2A7D8" w14:textId="77777777" w:rsidR="00C47191" w:rsidRPr="00B90A24" w:rsidRDefault="00C47191"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LACIT Rate between 26.3 and 34.9%</w:t>
            </w:r>
          </w:p>
        </w:tc>
        <w:tc>
          <w:tcPr>
            <w:tcW w:w="1530" w:type="dxa"/>
            <w:shd w:val="clear" w:color="000000" w:fill="5E913B"/>
            <w:vAlign w:val="center"/>
            <w:hideMark/>
          </w:tcPr>
          <w:p w14:paraId="524DF0CB" w14:textId="77777777" w:rsidR="00C47191" w:rsidRPr="00B90A24" w:rsidRDefault="00C47191" w:rsidP="00B90A24">
            <w:pPr>
              <w:spacing w:after="0" w:line="240" w:lineRule="auto"/>
              <w:jc w:val="center"/>
              <w:rPr>
                <w:rFonts w:eastAsia="Times New Roman" w:cs="Times New Roman"/>
                <w:sz w:val="28"/>
                <w:szCs w:val="28"/>
                <w:lang w:eastAsia="en-GB"/>
              </w:rPr>
            </w:pPr>
            <w:r w:rsidRPr="00B90A24">
              <w:rPr>
                <w:rFonts w:eastAsia="Times New Roman" w:cs="Times New Roman"/>
                <w:sz w:val="28"/>
                <w:szCs w:val="28"/>
                <w:lang w:eastAsia="en-GB"/>
              </w:rPr>
              <w:t>Minimum Risk</w:t>
            </w:r>
            <w:r w:rsidRPr="00B90A24">
              <w:rPr>
                <w:rFonts w:eastAsia="Times New Roman" w:cs="Times New Roman"/>
                <w:sz w:val="28"/>
                <w:szCs w:val="28"/>
                <w:lang w:eastAsia="en-GB"/>
              </w:rPr>
              <w:br/>
              <w:t>LACIT Rate 35%</w:t>
            </w:r>
          </w:p>
        </w:tc>
      </w:tr>
    </w:tbl>
    <w:p w14:paraId="17CEFCFF" w14:textId="6734C3A2" w:rsidR="00AF60AC" w:rsidRPr="00B90A24" w:rsidRDefault="00AF60AC" w:rsidP="00C5141D">
      <w:pPr>
        <w:pStyle w:val="Caption"/>
        <w:spacing w:after="0"/>
        <w:ind w:left="709" w:right="606"/>
        <w:rPr>
          <w:sz w:val="28"/>
          <w:szCs w:val="28"/>
        </w:rPr>
      </w:pPr>
      <w:bookmarkStart w:id="17" w:name="_Ref10621664"/>
      <w:bookmarkStart w:id="18" w:name="_Toc17883036"/>
      <w:bookmarkStart w:id="19" w:name="_Hlk34900221"/>
      <w:r w:rsidRPr="00B90A24">
        <w:rPr>
          <w:sz w:val="28"/>
          <w:szCs w:val="28"/>
        </w:rPr>
        <w:t xml:space="preserve">Figure </w:t>
      </w:r>
      <w:r w:rsidRPr="00B90A24">
        <w:rPr>
          <w:sz w:val="28"/>
          <w:szCs w:val="28"/>
        </w:rPr>
        <w:fldChar w:fldCharType="begin"/>
      </w:r>
      <w:r w:rsidRPr="00B90A24">
        <w:rPr>
          <w:sz w:val="28"/>
          <w:szCs w:val="28"/>
        </w:rPr>
        <w:instrText xml:space="preserve"> SEQ Figure \* ARABIC </w:instrText>
      </w:r>
      <w:r w:rsidRPr="00B90A24">
        <w:rPr>
          <w:sz w:val="28"/>
          <w:szCs w:val="28"/>
        </w:rPr>
        <w:fldChar w:fldCharType="separate"/>
      </w:r>
      <w:r w:rsidR="000448CA" w:rsidRPr="00B90A24">
        <w:rPr>
          <w:noProof/>
          <w:sz w:val="28"/>
          <w:szCs w:val="28"/>
        </w:rPr>
        <w:t>4</w:t>
      </w:r>
      <w:r w:rsidRPr="00B90A24">
        <w:rPr>
          <w:sz w:val="28"/>
          <w:szCs w:val="28"/>
        </w:rPr>
        <w:fldChar w:fldCharType="end"/>
      </w:r>
      <w:bookmarkEnd w:id="17"/>
      <w:r w:rsidRPr="00B90A24">
        <w:rPr>
          <w:sz w:val="28"/>
          <w:szCs w:val="28"/>
        </w:rPr>
        <w:t>. Statutory and lowest available corporate income tax (LACIT)</w:t>
      </w:r>
      <w:r w:rsidR="00883811" w:rsidRPr="00B90A24">
        <w:rPr>
          <w:sz w:val="28"/>
          <w:szCs w:val="28"/>
        </w:rPr>
        <w:t xml:space="preserve"> rates</w:t>
      </w:r>
      <w:r w:rsidRPr="00B90A24">
        <w:rPr>
          <w:sz w:val="28"/>
          <w:szCs w:val="28"/>
        </w:rPr>
        <w:t>, 2019</w:t>
      </w:r>
      <w:bookmarkEnd w:id="18"/>
    </w:p>
    <w:bookmarkEnd w:id="19"/>
    <w:p w14:paraId="777E64F5" w14:textId="77777777" w:rsidR="00A9558A" w:rsidRPr="00B90A24" w:rsidRDefault="00A9558A" w:rsidP="00B90A24">
      <w:pPr>
        <w:spacing w:after="0" w:line="240" w:lineRule="auto"/>
        <w:jc w:val="both"/>
        <w:rPr>
          <w:sz w:val="28"/>
          <w:szCs w:val="28"/>
        </w:rPr>
      </w:pPr>
    </w:p>
    <w:p w14:paraId="2475CCD9" w14:textId="0CA8178E" w:rsidR="007448BC" w:rsidRPr="00B90A24" w:rsidRDefault="00AF60AC" w:rsidP="00B90A24">
      <w:pPr>
        <w:spacing w:after="0" w:line="240" w:lineRule="auto"/>
        <w:ind w:left="567" w:right="890"/>
        <w:jc w:val="both"/>
        <w:rPr>
          <w:sz w:val="28"/>
          <w:szCs w:val="28"/>
        </w:rPr>
      </w:pPr>
      <w:r w:rsidRPr="00B90A24">
        <w:rPr>
          <w:sz w:val="28"/>
          <w:szCs w:val="28"/>
        </w:rPr>
        <w:t>The difference between tax rates on corporate income across jurisdictions is a driver of profit shifting and the race to the bottom in corporate taxation</w:t>
      </w:r>
      <w:r w:rsidR="004871F9" w:rsidRPr="00B90A24">
        <w:rPr>
          <w:sz w:val="28"/>
          <w:szCs w:val="28"/>
        </w:rPr>
        <w:t xml:space="preserve"> </w:t>
      </w:r>
      <w:r w:rsidR="004871F9" w:rsidRPr="00B90A24">
        <w:rPr>
          <w:sz w:val="28"/>
          <w:szCs w:val="28"/>
        </w:rPr>
        <w:fldChar w:fldCharType="begin"/>
      </w:r>
      <w:r w:rsidR="00A06D6C" w:rsidRPr="00B90A24">
        <w:rPr>
          <w:sz w:val="28"/>
          <w:szCs w:val="28"/>
        </w:rPr>
        <w:instrText xml:space="preserve"> ADDIN ZOTERO_ITEM CSL_CITATION {"citationID":"a2n9uo46i88","properties":{"formattedCitation":"(Crivelli et al., 2016)","plainCitation":"(Crivelli et al., 2016)","noteIndex":0},"citationItems":[{"id":2997,"uris":["http://zotero.org/groups/997303/items/QUILYB95"],"uri":["http://zotero.org/groups/997303/items/QUILYB95"],"itemData":{"id":2997,"type":"article-journal","container-title":"FinanzArchiv: Public Finance Analysis","issue":"3","language":"en","note":"DOI: info:doi/10.1628/001522116X14646834385460","page":"268-301","title":"Base Erosion, Profit Shifting and Developing Countries","volume":"72","author":[{"family":"Crivelli","given":"Ernesto"},{"family":"Mooij","given":"Ruud","non-dropping-particle":"de"},{"family":"Keen","given":"Michael"}],"issued":{"date-parts":[["2016",9]]}}}],"schema":"https://github.com/citation-style-language/schema/raw/master/csl-citation.json"} </w:instrText>
      </w:r>
      <w:r w:rsidR="004871F9" w:rsidRPr="00B90A24">
        <w:rPr>
          <w:sz w:val="28"/>
          <w:szCs w:val="28"/>
        </w:rPr>
        <w:fldChar w:fldCharType="separate"/>
      </w:r>
      <w:r w:rsidR="00B133DE" w:rsidRPr="00B90A24">
        <w:rPr>
          <w:rFonts w:cs="Times New Roman"/>
          <w:sz w:val="28"/>
          <w:szCs w:val="28"/>
        </w:rPr>
        <w:t>(Crivelli et al., 2016)</w:t>
      </w:r>
      <w:r w:rsidR="004871F9" w:rsidRPr="00B90A24">
        <w:rPr>
          <w:sz w:val="28"/>
          <w:szCs w:val="28"/>
        </w:rPr>
        <w:fldChar w:fldCharType="end"/>
      </w:r>
      <w:r w:rsidRPr="00B90A24">
        <w:rPr>
          <w:sz w:val="28"/>
          <w:szCs w:val="28"/>
        </w:rPr>
        <w:t>. Significant differentials in the corporate income tax rate incentivise the manipulation of transfer prices for shifting profits from high to low tax jurisdictions. Existing transfer pricing guidelines based on the arm’s length principle are inadequate to prevent such profit shifting</w:t>
      </w:r>
      <w:r w:rsidR="00B133DE" w:rsidRPr="00B90A24">
        <w:rPr>
          <w:sz w:val="28"/>
          <w:szCs w:val="28"/>
        </w:rPr>
        <w:t xml:space="preserve"> </w:t>
      </w:r>
      <w:r w:rsidR="00B133DE" w:rsidRPr="00B90A24">
        <w:rPr>
          <w:sz w:val="28"/>
          <w:szCs w:val="28"/>
        </w:rPr>
        <w:fldChar w:fldCharType="begin"/>
      </w:r>
      <w:r w:rsidR="00B133DE" w:rsidRPr="00B90A24">
        <w:rPr>
          <w:sz w:val="28"/>
          <w:szCs w:val="28"/>
        </w:rPr>
        <w:instrText xml:space="preserve"> ADDIN ZOTERO_ITEM CSL_CITATION {"citationID":"A1VuzBUZ","properties":{"formattedCitation":"(Serrano et al., 2019)","plainCitation":"(Serrano et al., 2019)","noteIndex":0},"citationItems":[{"id":5934,"uris":["http://zotero.org/groups/997303/items/4KN4F7TY"],"uri":["http://zotero.org/groups/997303/items/4KN4F7TY"],"itemData":{"id":5934,"type":"report","event-place":"Panama","language":"en","page":"98","publisher":"CIAT","publisher-place":"Panama","source":"Zotero","title":"Cocktail of measures for the control of harmful transfer pricing manipulation, focused within the   context of  low income and developing countries","URL":"https://www.ciat.org/Biblioteca/Estudios/2019_cocktail_TP_ciat_giz.pdf","author":[{"family":"Serrano","given":"Carlos Pérez Gómez"},{"family":"Muñoz","given":"Enrique Bolado"},{"family":"Esteban","given":"Isaác Gonzalo Arias"}],"accessed":{"date-parts":[["2020",6,19]]},"issued":{"date-parts":[["2019"]]}}}],"schema":"https://github.com/citation-style-language/schema/raw/master/csl-citation.json"} </w:instrText>
      </w:r>
      <w:r w:rsidR="00B133DE" w:rsidRPr="00B90A24">
        <w:rPr>
          <w:sz w:val="28"/>
          <w:szCs w:val="28"/>
        </w:rPr>
        <w:fldChar w:fldCharType="separate"/>
      </w:r>
      <w:r w:rsidR="00B133DE" w:rsidRPr="00B90A24">
        <w:rPr>
          <w:rFonts w:cs="Times New Roman"/>
          <w:sz w:val="28"/>
          <w:szCs w:val="28"/>
        </w:rPr>
        <w:t>(Serrano et al., 2019)</w:t>
      </w:r>
      <w:r w:rsidR="00B133DE" w:rsidRPr="00B90A24">
        <w:rPr>
          <w:sz w:val="28"/>
          <w:szCs w:val="28"/>
        </w:rPr>
        <w:fldChar w:fldCharType="end"/>
      </w:r>
      <w:r w:rsidRPr="00B90A24">
        <w:rPr>
          <w:sz w:val="28"/>
          <w:szCs w:val="28"/>
        </w:rPr>
        <w:t xml:space="preserve">. Therefore, a low or nil tax rate creates tax avoidance risks for any jurisdiction with a higher corporate income tax rate. </w:t>
      </w:r>
    </w:p>
    <w:p w14:paraId="13252E2A" w14:textId="77777777" w:rsidR="00745F35" w:rsidRPr="00B90A24" w:rsidRDefault="00745F35" w:rsidP="00B90A24">
      <w:pPr>
        <w:spacing w:after="0" w:line="240" w:lineRule="auto"/>
        <w:ind w:left="567" w:right="890"/>
        <w:jc w:val="both"/>
        <w:rPr>
          <w:sz w:val="28"/>
          <w:szCs w:val="28"/>
        </w:rPr>
      </w:pPr>
    </w:p>
    <w:p w14:paraId="7ACC8193" w14:textId="3099AE1F" w:rsidR="00AF60AC" w:rsidRPr="00B90A24" w:rsidRDefault="00AF60AC" w:rsidP="00B90A24">
      <w:pPr>
        <w:spacing w:after="0" w:line="240" w:lineRule="auto"/>
        <w:ind w:left="567" w:right="890"/>
        <w:jc w:val="both"/>
        <w:rPr>
          <w:sz w:val="28"/>
          <w:szCs w:val="28"/>
        </w:rPr>
      </w:pPr>
      <w:r w:rsidRPr="00B90A24">
        <w:rPr>
          <w:sz w:val="28"/>
          <w:szCs w:val="28"/>
        </w:rPr>
        <w:t xml:space="preserve">To comparatively measure the intensity of such spillover risks emanating from any country’s lowest available corporate income tax rate, a reference rate against which to measure this lowest rate is necessary. The distance from this reference rate serves as a proxy for the intensity of the spillover risks stemming from a country’s lowest tax rate. In the absence of an internationally agreed default corporate income tax rate, the Corporate Tax Haven Index identified the highest available corporate income tax rate in a democracy based on the premise that any lower rate risks undermining the democratic choices of the electorate of this jurisdiction. </w:t>
      </w:r>
      <w:r w:rsidR="007448BC" w:rsidRPr="00B90A24">
        <w:rPr>
          <w:sz w:val="28"/>
          <w:szCs w:val="28"/>
        </w:rPr>
        <w:t>Following</w:t>
      </w:r>
      <w:r w:rsidRPr="00B90A24">
        <w:rPr>
          <w:sz w:val="28"/>
          <w:szCs w:val="28"/>
        </w:rPr>
        <w:t xml:space="preserve"> the analysis, the reference rate was set at 35 per cent based on the rate in India, where capital gains are included in corporate income. The haven score for this first category is calculated by scaling the lowest available </w:t>
      </w:r>
      <w:r w:rsidRPr="00B90A24">
        <w:rPr>
          <w:sz w:val="28"/>
          <w:szCs w:val="28"/>
        </w:rPr>
        <w:lastRenderedPageBreak/>
        <w:t xml:space="preserve">corporate income tax rate of each country against the spillover risk reference rate of 35 per cent. </w:t>
      </w:r>
    </w:p>
    <w:p w14:paraId="12B9AE10" w14:textId="77777777" w:rsidR="00A9558A" w:rsidRPr="00B90A24" w:rsidRDefault="00A9558A" w:rsidP="00B90A24">
      <w:pPr>
        <w:spacing w:after="0" w:line="240" w:lineRule="auto"/>
        <w:ind w:left="567" w:right="890"/>
        <w:jc w:val="both"/>
        <w:rPr>
          <w:sz w:val="28"/>
          <w:szCs w:val="28"/>
        </w:rPr>
      </w:pPr>
    </w:p>
    <w:p w14:paraId="4C48FBFD" w14:textId="5461EB0F" w:rsidR="00FC1278" w:rsidRPr="00B90A24" w:rsidRDefault="00AF60AC" w:rsidP="00B90A24">
      <w:pPr>
        <w:spacing w:after="0" w:line="240" w:lineRule="auto"/>
        <w:ind w:left="567" w:right="890"/>
        <w:jc w:val="both"/>
        <w:rPr>
          <w:sz w:val="28"/>
          <w:szCs w:val="28"/>
        </w:rPr>
      </w:pPr>
      <w:r w:rsidRPr="00B90A24">
        <w:rPr>
          <w:sz w:val="28"/>
          <w:szCs w:val="28"/>
        </w:rPr>
        <w:t>The average lowest available corporate income tax rate and the statutory rate across the nine African countries are 2</w:t>
      </w:r>
      <w:r w:rsidR="00C47191" w:rsidRPr="00B90A24">
        <w:rPr>
          <w:sz w:val="28"/>
          <w:szCs w:val="28"/>
        </w:rPr>
        <w:t>1</w:t>
      </w:r>
      <w:r w:rsidRPr="00B90A24">
        <w:rPr>
          <w:sz w:val="28"/>
          <w:szCs w:val="28"/>
        </w:rPr>
        <w:t xml:space="preserve"> and 2</w:t>
      </w:r>
      <w:r w:rsidR="00C47191" w:rsidRPr="00B90A24">
        <w:rPr>
          <w:sz w:val="28"/>
          <w:szCs w:val="28"/>
        </w:rPr>
        <w:t>6</w:t>
      </w:r>
      <w:r w:rsidRPr="00B90A24">
        <w:rPr>
          <w:sz w:val="28"/>
          <w:szCs w:val="28"/>
        </w:rPr>
        <w:t xml:space="preserve"> per cent respectively. These are almost 15 and 10 per cent lower than the spillover risk rate. These low rates may result in inward profit shifting, potentially undermining the tax base of other countries in Africa and beyond, and entice other countries to follow suit. This likely affects the tax mix by shifting the burden o</w:t>
      </w:r>
      <w:r w:rsidR="007448BC" w:rsidRPr="00B90A24">
        <w:rPr>
          <w:sz w:val="28"/>
          <w:szCs w:val="28"/>
        </w:rPr>
        <w:t>f</w:t>
      </w:r>
      <w:r w:rsidRPr="00B90A24">
        <w:rPr>
          <w:sz w:val="28"/>
          <w:szCs w:val="28"/>
        </w:rPr>
        <w:t xml:space="preserve"> taxation onto less mobile taxpayers</w:t>
      </w:r>
      <w:r w:rsidR="005B5B70" w:rsidRPr="00B90A24">
        <w:rPr>
          <w:sz w:val="28"/>
          <w:szCs w:val="28"/>
        </w:rPr>
        <w:t>.</w:t>
      </w:r>
      <w:r w:rsidRPr="00B90A24">
        <w:rPr>
          <w:sz w:val="28"/>
          <w:szCs w:val="28"/>
        </w:rPr>
        <w:t xml:space="preserve"> </w:t>
      </w:r>
      <w:r w:rsidR="00FC1278" w:rsidRPr="00B90A24">
        <w:rPr>
          <w:sz w:val="28"/>
          <w:szCs w:val="28"/>
        </w:rPr>
        <w:t xml:space="preserve">Nevertheless, the OECD and the </w:t>
      </w:r>
      <w:r w:rsidR="00340231" w:rsidRPr="00B90A24">
        <w:rPr>
          <w:sz w:val="28"/>
          <w:szCs w:val="28"/>
        </w:rPr>
        <w:t>EU</w:t>
      </w:r>
      <w:r w:rsidR="00FC1278" w:rsidRPr="00B90A24">
        <w:rPr>
          <w:sz w:val="28"/>
          <w:szCs w:val="28"/>
        </w:rPr>
        <w:t xml:space="preserve">’s average statutory and lowest available corporate income tax rates are lower than those available in African jurisdictions, which implies countries in these blocks </w:t>
      </w:r>
      <w:r w:rsidR="005F39A4" w:rsidRPr="00B90A24">
        <w:rPr>
          <w:sz w:val="28"/>
          <w:szCs w:val="28"/>
        </w:rPr>
        <w:t>create more spillover risks</w:t>
      </w:r>
      <w:r w:rsidR="00FC1278" w:rsidRPr="00B90A24">
        <w:rPr>
          <w:sz w:val="28"/>
          <w:szCs w:val="28"/>
        </w:rPr>
        <w:t xml:space="preserve">. This is reflected in the lower average haven score for African jurisdictions compared to the average for the OECD, the OECD and dependencies and the </w:t>
      </w:r>
      <w:r w:rsidR="00340231" w:rsidRPr="00B90A24">
        <w:rPr>
          <w:sz w:val="28"/>
          <w:szCs w:val="28"/>
        </w:rPr>
        <w:t>EU</w:t>
      </w:r>
      <w:r w:rsidR="00FC1278" w:rsidRPr="00B90A24">
        <w:rPr>
          <w:sz w:val="28"/>
          <w:szCs w:val="28"/>
        </w:rPr>
        <w:t xml:space="preserve">, as presented in </w:t>
      </w:r>
      <w:r w:rsidR="00FC1278" w:rsidRPr="00B90A24">
        <w:rPr>
          <w:sz w:val="28"/>
          <w:szCs w:val="28"/>
        </w:rPr>
        <w:fldChar w:fldCharType="begin"/>
      </w:r>
      <w:r w:rsidR="00FC1278" w:rsidRPr="00B90A24">
        <w:rPr>
          <w:sz w:val="28"/>
          <w:szCs w:val="28"/>
        </w:rPr>
        <w:instrText xml:space="preserve"> REF _Ref10628821 \h </w:instrText>
      </w:r>
      <w:r w:rsidR="004603C9" w:rsidRPr="00B90A24">
        <w:rPr>
          <w:sz w:val="28"/>
          <w:szCs w:val="28"/>
        </w:rPr>
        <w:instrText xml:space="preserve"> \* MERGEFORMAT </w:instrText>
      </w:r>
      <w:r w:rsidR="00FC1278" w:rsidRPr="00B90A24">
        <w:rPr>
          <w:sz w:val="28"/>
          <w:szCs w:val="28"/>
        </w:rPr>
      </w:r>
      <w:r w:rsidR="00FC1278" w:rsidRPr="00B90A24">
        <w:rPr>
          <w:sz w:val="28"/>
          <w:szCs w:val="28"/>
        </w:rPr>
        <w:fldChar w:fldCharType="separate"/>
      </w:r>
      <w:r w:rsidR="00B122C4" w:rsidRPr="00B90A24">
        <w:rPr>
          <w:sz w:val="28"/>
          <w:szCs w:val="28"/>
        </w:rPr>
        <w:t xml:space="preserve">Figure </w:t>
      </w:r>
      <w:r w:rsidR="00B122C4" w:rsidRPr="00B90A24">
        <w:rPr>
          <w:noProof/>
          <w:sz w:val="28"/>
          <w:szCs w:val="28"/>
        </w:rPr>
        <w:t>5</w:t>
      </w:r>
      <w:r w:rsidR="00FC1278" w:rsidRPr="00B90A24">
        <w:rPr>
          <w:sz w:val="28"/>
          <w:szCs w:val="28"/>
        </w:rPr>
        <w:fldChar w:fldCharType="end"/>
      </w:r>
      <w:r w:rsidR="00FC1278" w:rsidRPr="00B90A24">
        <w:rPr>
          <w:sz w:val="28"/>
          <w:szCs w:val="28"/>
        </w:rPr>
        <w:t>.</w:t>
      </w:r>
    </w:p>
    <w:p w14:paraId="4B837E6F" w14:textId="77777777" w:rsidR="00783A4C" w:rsidRPr="00B90A24" w:rsidRDefault="00783A4C" w:rsidP="00B90A24">
      <w:pPr>
        <w:spacing w:after="0" w:line="240" w:lineRule="auto"/>
        <w:ind w:left="567" w:right="890"/>
        <w:jc w:val="both"/>
        <w:rPr>
          <w:sz w:val="28"/>
          <w:szCs w:val="28"/>
        </w:rPr>
      </w:pPr>
    </w:p>
    <w:p w14:paraId="12BEC162" w14:textId="77777777" w:rsidR="00745F35" w:rsidRPr="00B90A24" w:rsidRDefault="00C47191" w:rsidP="00B90A24">
      <w:pPr>
        <w:pStyle w:val="Caption"/>
        <w:spacing w:after="0"/>
        <w:ind w:left="851"/>
        <w:jc w:val="both"/>
        <w:rPr>
          <w:sz w:val="28"/>
          <w:szCs w:val="28"/>
        </w:rPr>
      </w:pPr>
      <w:bookmarkStart w:id="20" w:name="_Ref10628821"/>
      <w:bookmarkStart w:id="21" w:name="_Toc17883037"/>
      <w:bookmarkStart w:id="22" w:name="_Hlk34900355"/>
      <w:r w:rsidRPr="00B90A24">
        <w:rPr>
          <w:noProof/>
          <w:sz w:val="28"/>
          <w:szCs w:val="28"/>
        </w:rPr>
        <w:drawing>
          <wp:inline distT="0" distB="0" distL="0" distR="0" wp14:anchorId="78EB73A5" wp14:editId="43DC8DBE">
            <wp:extent cx="5542671" cy="3139440"/>
            <wp:effectExtent l="0" t="0" r="7620" b="10160"/>
            <wp:docPr id="8" name="Chart 8">
              <a:extLst xmlns:a="http://schemas.openxmlformats.org/drawingml/2006/main">
                <a:ext uri="{FF2B5EF4-FFF2-40B4-BE49-F238E27FC236}">
                  <a16:creationId xmlns:a16="http://schemas.microsoft.com/office/drawing/2014/main" id="{6404906C-299E-4819-85B7-F01E42C5A8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4D88B9" w14:textId="1468C79E" w:rsidR="00AF60AC" w:rsidRPr="00B90A24" w:rsidRDefault="00AF60AC" w:rsidP="00C5141D">
      <w:pPr>
        <w:pStyle w:val="Caption"/>
        <w:spacing w:after="0"/>
        <w:ind w:left="851" w:right="890"/>
        <w:jc w:val="both"/>
        <w:rPr>
          <w:sz w:val="28"/>
          <w:szCs w:val="28"/>
        </w:rPr>
      </w:pPr>
      <w:r w:rsidRPr="00B90A24">
        <w:rPr>
          <w:sz w:val="28"/>
          <w:szCs w:val="28"/>
        </w:rPr>
        <w:t xml:space="preserve">Figure </w:t>
      </w:r>
      <w:r w:rsidRPr="00B90A24">
        <w:rPr>
          <w:sz w:val="28"/>
          <w:szCs w:val="28"/>
        </w:rPr>
        <w:fldChar w:fldCharType="begin"/>
      </w:r>
      <w:r w:rsidRPr="00B90A24">
        <w:rPr>
          <w:sz w:val="28"/>
          <w:szCs w:val="28"/>
        </w:rPr>
        <w:instrText xml:space="preserve"> SEQ Figure \* ARABIC </w:instrText>
      </w:r>
      <w:r w:rsidRPr="00B90A24">
        <w:rPr>
          <w:sz w:val="28"/>
          <w:szCs w:val="28"/>
        </w:rPr>
        <w:fldChar w:fldCharType="separate"/>
      </w:r>
      <w:r w:rsidR="000448CA" w:rsidRPr="00B90A24">
        <w:rPr>
          <w:noProof/>
          <w:sz w:val="28"/>
          <w:szCs w:val="28"/>
        </w:rPr>
        <w:t>5</w:t>
      </w:r>
      <w:r w:rsidRPr="00B90A24">
        <w:rPr>
          <w:sz w:val="28"/>
          <w:szCs w:val="28"/>
        </w:rPr>
        <w:fldChar w:fldCharType="end"/>
      </w:r>
      <w:bookmarkEnd w:id="20"/>
      <w:r w:rsidRPr="00B90A24">
        <w:rPr>
          <w:sz w:val="28"/>
          <w:szCs w:val="28"/>
        </w:rPr>
        <w:t>. Corporate tax haven scores for Africa and averages – Category 1: Lowest available corporate income tax</w:t>
      </w:r>
      <w:bookmarkEnd w:id="21"/>
      <w:r w:rsidR="00137919" w:rsidRPr="00B90A24">
        <w:rPr>
          <w:sz w:val="28"/>
          <w:szCs w:val="28"/>
        </w:rPr>
        <w:t xml:space="preserve"> rate</w:t>
      </w:r>
    </w:p>
    <w:p w14:paraId="6EAA11F3" w14:textId="77777777" w:rsidR="00783A4C" w:rsidRPr="00B90A24" w:rsidRDefault="00783A4C" w:rsidP="00B90A24">
      <w:pPr>
        <w:spacing w:line="240" w:lineRule="auto"/>
        <w:rPr>
          <w:sz w:val="28"/>
          <w:szCs w:val="28"/>
        </w:rPr>
      </w:pPr>
    </w:p>
    <w:p w14:paraId="2082E6BE" w14:textId="5EC2767A" w:rsidR="00AF60AC" w:rsidRPr="00B90A24" w:rsidRDefault="00AF60AC" w:rsidP="00D7338C">
      <w:pPr>
        <w:pStyle w:val="Heading2"/>
        <w:numPr>
          <w:ilvl w:val="1"/>
          <w:numId w:val="21"/>
        </w:numPr>
        <w:spacing w:before="0" w:line="240" w:lineRule="auto"/>
        <w:ind w:left="709" w:right="890" w:hanging="567"/>
        <w:rPr>
          <w:i/>
          <w:color w:val="0070C0"/>
          <w:sz w:val="28"/>
          <w:szCs w:val="28"/>
        </w:rPr>
      </w:pPr>
      <w:bookmarkStart w:id="23" w:name="_Toc17879118"/>
      <w:bookmarkStart w:id="24" w:name="_Ref37919144"/>
      <w:bookmarkEnd w:id="22"/>
      <w:r w:rsidRPr="00B90A24">
        <w:rPr>
          <w:i/>
          <w:color w:val="0070C0"/>
          <w:sz w:val="28"/>
          <w:szCs w:val="28"/>
        </w:rPr>
        <w:t>Loopholes and gaps</w:t>
      </w:r>
      <w:bookmarkEnd w:id="23"/>
      <w:bookmarkEnd w:id="24"/>
    </w:p>
    <w:p w14:paraId="5CF2E584" w14:textId="77777777" w:rsidR="00783A4C" w:rsidRPr="00B90A24" w:rsidRDefault="00783A4C" w:rsidP="00B90A24">
      <w:pPr>
        <w:spacing w:after="0" w:line="240" w:lineRule="auto"/>
        <w:ind w:left="851" w:right="890"/>
        <w:jc w:val="both"/>
        <w:rPr>
          <w:sz w:val="28"/>
          <w:szCs w:val="28"/>
        </w:rPr>
      </w:pPr>
    </w:p>
    <w:p w14:paraId="58DAD014" w14:textId="51318CC5" w:rsidR="00AF60AC" w:rsidRDefault="00AF60AC" w:rsidP="00D7338C">
      <w:pPr>
        <w:spacing w:after="0" w:line="240" w:lineRule="auto"/>
        <w:ind w:left="567" w:right="890"/>
        <w:jc w:val="both"/>
        <w:rPr>
          <w:sz w:val="28"/>
          <w:szCs w:val="28"/>
        </w:rPr>
      </w:pPr>
      <w:r w:rsidRPr="00B90A24">
        <w:rPr>
          <w:sz w:val="28"/>
          <w:szCs w:val="28"/>
        </w:rPr>
        <w:t xml:space="preserve">The second category of indicators referred to as “loopholes and gaps” in the Corporate Tax Haven Index considers the exclusions and exemptions that are in place and can be used by multinational companies to reduce the tax rate or tax base. </w:t>
      </w:r>
      <w:r w:rsidR="007448BC" w:rsidRPr="00B90A24">
        <w:rPr>
          <w:sz w:val="28"/>
          <w:szCs w:val="28"/>
        </w:rPr>
        <w:t xml:space="preserve">This category </w:t>
      </w:r>
      <w:r w:rsidR="00274DA7" w:rsidRPr="00B90A24">
        <w:rPr>
          <w:sz w:val="28"/>
          <w:szCs w:val="28"/>
        </w:rPr>
        <w:t xml:space="preserve">consists </w:t>
      </w:r>
      <w:r w:rsidRPr="00B90A24">
        <w:rPr>
          <w:sz w:val="28"/>
          <w:szCs w:val="28"/>
        </w:rPr>
        <w:t xml:space="preserve">of seven indicators and the overall score presented in </w:t>
      </w:r>
      <w:r w:rsidR="00FC1278" w:rsidRPr="00B90A24">
        <w:rPr>
          <w:sz w:val="28"/>
          <w:szCs w:val="28"/>
        </w:rPr>
        <w:fldChar w:fldCharType="begin"/>
      </w:r>
      <w:r w:rsidR="00FC1278" w:rsidRPr="00B90A24">
        <w:rPr>
          <w:sz w:val="28"/>
          <w:szCs w:val="28"/>
        </w:rPr>
        <w:instrText xml:space="preserve"> REF _Ref10629551 \h </w:instrText>
      </w:r>
      <w:r w:rsidR="004603C9" w:rsidRPr="00B90A24">
        <w:rPr>
          <w:sz w:val="28"/>
          <w:szCs w:val="28"/>
        </w:rPr>
        <w:instrText xml:space="preserve"> \* MERGEFORMAT </w:instrText>
      </w:r>
      <w:r w:rsidR="00FC1278" w:rsidRPr="00B90A24">
        <w:rPr>
          <w:sz w:val="28"/>
          <w:szCs w:val="28"/>
        </w:rPr>
      </w:r>
      <w:r w:rsidR="00FC1278" w:rsidRPr="00B90A24">
        <w:rPr>
          <w:sz w:val="28"/>
          <w:szCs w:val="28"/>
        </w:rPr>
        <w:fldChar w:fldCharType="separate"/>
      </w:r>
      <w:r w:rsidR="00B122C4" w:rsidRPr="00B90A24">
        <w:rPr>
          <w:sz w:val="28"/>
          <w:szCs w:val="28"/>
        </w:rPr>
        <w:t xml:space="preserve">Figure </w:t>
      </w:r>
      <w:r w:rsidR="00B122C4" w:rsidRPr="00B90A24">
        <w:rPr>
          <w:noProof/>
          <w:sz w:val="28"/>
          <w:szCs w:val="28"/>
        </w:rPr>
        <w:t>6</w:t>
      </w:r>
      <w:r w:rsidR="00FC1278" w:rsidRPr="00B90A24">
        <w:rPr>
          <w:sz w:val="28"/>
          <w:szCs w:val="28"/>
        </w:rPr>
        <w:fldChar w:fldCharType="end"/>
      </w:r>
      <w:r w:rsidR="00FC1278" w:rsidRPr="00B90A24">
        <w:rPr>
          <w:sz w:val="28"/>
          <w:szCs w:val="28"/>
        </w:rPr>
        <w:t xml:space="preserve"> is the arithmetic average of the seven indicators. </w:t>
      </w:r>
      <w:r w:rsidR="007448BC" w:rsidRPr="00B90A24">
        <w:rPr>
          <w:sz w:val="28"/>
          <w:szCs w:val="28"/>
        </w:rPr>
        <w:t xml:space="preserve">The indicators </w:t>
      </w:r>
      <w:r w:rsidRPr="00B90A24">
        <w:rPr>
          <w:sz w:val="28"/>
          <w:szCs w:val="28"/>
        </w:rPr>
        <w:t xml:space="preserve">include </w:t>
      </w:r>
      <w:r w:rsidR="007448BC" w:rsidRPr="00B90A24">
        <w:rPr>
          <w:sz w:val="28"/>
          <w:szCs w:val="28"/>
        </w:rPr>
        <w:t xml:space="preserve">an assessment of </w:t>
      </w:r>
      <w:r w:rsidRPr="00B90A24">
        <w:rPr>
          <w:sz w:val="28"/>
          <w:szCs w:val="28"/>
        </w:rPr>
        <w:t>sectoral exemptions, tax holidays and economic zones that reduce corporate tax</w:t>
      </w:r>
      <w:r w:rsidR="002A74CF" w:rsidRPr="00B90A24">
        <w:rPr>
          <w:sz w:val="28"/>
          <w:szCs w:val="28"/>
        </w:rPr>
        <w:t>ation</w:t>
      </w:r>
      <w:r w:rsidRPr="00B90A24">
        <w:rPr>
          <w:sz w:val="28"/>
          <w:szCs w:val="28"/>
        </w:rPr>
        <w:t>. Capital gains tax</w:t>
      </w:r>
      <w:r w:rsidR="002A74CF" w:rsidRPr="00B90A24">
        <w:rPr>
          <w:sz w:val="28"/>
          <w:szCs w:val="28"/>
        </w:rPr>
        <w:t xml:space="preserve">, </w:t>
      </w:r>
      <w:r w:rsidR="00033058" w:rsidRPr="00B90A24">
        <w:rPr>
          <w:sz w:val="28"/>
          <w:szCs w:val="28"/>
        </w:rPr>
        <w:t xml:space="preserve">foreign investment income treatment </w:t>
      </w:r>
      <w:r w:rsidRPr="00B90A24">
        <w:rPr>
          <w:sz w:val="28"/>
          <w:szCs w:val="28"/>
        </w:rPr>
        <w:lastRenderedPageBreak/>
        <w:t>and rules around loss utilisation, fictional interest deduction and patent box regimes are also considered.</w:t>
      </w:r>
    </w:p>
    <w:p w14:paraId="74F238EE" w14:textId="77777777" w:rsidR="00D7338C" w:rsidRPr="00B90A24" w:rsidRDefault="00D7338C" w:rsidP="00D7338C">
      <w:pPr>
        <w:spacing w:after="0" w:line="240" w:lineRule="auto"/>
        <w:ind w:left="567" w:right="890"/>
        <w:jc w:val="both"/>
        <w:rPr>
          <w:sz w:val="28"/>
          <w:szCs w:val="28"/>
        </w:rPr>
      </w:pPr>
    </w:p>
    <w:p w14:paraId="2CBE7A72" w14:textId="77777777" w:rsidR="00783A4C" w:rsidRPr="00B90A24" w:rsidRDefault="00783A4C" w:rsidP="00B90A24">
      <w:pPr>
        <w:spacing w:after="0" w:line="240" w:lineRule="auto"/>
        <w:ind w:left="851" w:right="890"/>
        <w:jc w:val="both"/>
        <w:rPr>
          <w:sz w:val="28"/>
          <w:szCs w:val="28"/>
        </w:rPr>
      </w:pPr>
    </w:p>
    <w:p w14:paraId="176021EF" w14:textId="77777777" w:rsidR="000448CA" w:rsidRPr="00B90A24" w:rsidRDefault="000448CA" w:rsidP="00B90A24">
      <w:pPr>
        <w:keepNext/>
        <w:spacing w:after="0" w:line="240" w:lineRule="auto"/>
        <w:ind w:left="851"/>
        <w:jc w:val="both"/>
        <w:rPr>
          <w:sz w:val="28"/>
          <w:szCs w:val="28"/>
        </w:rPr>
      </w:pPr>
      <w:r w:rsidRPr="00B90A24">
        <w:rPr>
          <w:noProof/>
          <w:sz w:val="28"/>
          <w:szCs w:val="28"/>
        </w:rPr>
        <w:drawing>
          <wp:inline distT="0" distB="0" distL="0" distR="0" wp14:anchorId="0111261E" wp14:editId="1BF0D09A">
            <wp:extent cx="5556739" cy="3052396"/>
            <wp:effectExtent l="0" t="0" r="6350" b="8890"/>
            <wp:docPr id="70" name="Chart 70">
              <a:extLst xmlns:a="http://schemas.openxmlformats.org/drawingml/2006/main">
                <a:ext uri="{FF2B5EF4-FFF2-40B4-BE49-F238E27FC236}">
                  <a16:creationId xmlns:a16="http://schemas.microsoft.com/office/drawing/2014/main" id="{BDF303FF-0C29-4865-8035-BD3EDE014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AF0C77" w14:textId="784FC2D7" w:rsidR="00783A4C" w:rsidRPr="00B90A24" w:rsidRDefault="000448CA" w:rsidP="00D7338C">
      <w:pPr>
        <w:pStyle w:val="Caption"/>
        <w:spacing w:after="0"/>
        <w:ind w:left="851" w:right="890"/>
        <w:jc w:val="both"/>
        <w:rPr>
          <w:sz w:val="28"/>
          <w:szCs w:val="28"/>
        </w:rPr>
      </w:pPr>
      <w:r w:rsidRPr="00B90A24">
        <w:rPr>
          <w:sz w:val="28"/>
          <w:szCs w:val="28"/>
        </w:rPr>
        <w:t xml:space="preserve">Figure </w:t>
      </w:r>
      <w:r w:rsidR="00A0375B" w:rsidRPr="00B90A24">
        <w:rPr>
          <w:sz w:val="28"/>
          <w:szCs w:val="28"/>
        </w:rPr>
        <w:fldChar w:fldCharType="begin"/>
      </w:r>
      <w:r w:rsidR="00A0375B" w:rsidRPr="00B90A24">
        <w:rPr>
          <w:sz w:val="28"/>
          <w:szCs w:val="28"/>
        </w:rPr>
        <w:instrText xml:space="preserve"> SEQ Figure \* ARABIC </w:instrText>
      </w:r>
      <w:r w:rsidR="00A0375B" w:rsidRPr="00B90A24">
        <w:rPr>
          <w:sz w:val="28"/>
          <w:szCs w:val="28"/>
        </w:rPr>
        <w:fldChar w:fldCharType="separate"/>
      </w:r>
      <w:r w:rsidRPr="00B90A24">
        <w:rPr>
          <w:noProof/>
          <w:sz w:val="28"/>
          <w:szCs w:val="28"/>
        </w:rPr>
        <w:t>6</w:t>
      </w:r>
      <w:r w:rsidR="00A0375B" w:rsidRPr="00B90A24">
        <w:rPr>
          <w:noProof/>
          <w:sz w:val="28"/>
          <w:szCs w:val="28"/>
        </w:rPr>
        <w:fldChar w:fldCharType="end"/>
      </w:r>
      <w:r w:rsidRPr="00B90A24">
        <w:rPr>
          <w:sz w:val="28"/>
          <w:szCs w:val="28"/>
        </w:rPr>
        <w:t>. Corporate tax haven scores for Africa and averages – Category 2: Loopholes and gaps</w:t>
      </w:r>
    </w:p>
    <w:p w14:paraId="35D4B964" w14:textId="77777777" w:rsidR="00783A4C" w:rsidRPr="00B90A24" w:rsidRDefault="00783A4C" w:rsidP="00B90A24">
      <w:pPr>
        <w:spacing w:after="0" w:line="240" w:lineRule="auto"/>
        <w:jc w:val="both"/>
        <w:rPr>
          <w:sz w:val="28"/>
          <w:szCs w:val="28"/>
        </w:rPr>
      </w:pPr>
    </w:p>
    <w:p w14:paraId="36D0E96B" w14:textId="38C9A947" w:rsidR="00783A4C" w:rsidRPr="00B90A24" w:rsidRDefault="00FC1278" w:rsidP="00D7338C">
      <w:pPr>
        <w:spacing w:after="0" w:line="240" w:lineRule="auto"/>
        <w:ind w:left="709" w:right="890"/>
        <w:jc w:val="both"/>
        <w:rPr>
          <w:sz w:val="28"/>
          <w:szCs w:val="28"/>
        </w:rPr>
      </w:pPr>
      <w:r w:rsidRPr="00B90A24">
        <w:rPr>
          <w:sz w:val="28"/>
          <w:szCs w:val="28"/>
        </w:rPr>
        <w:fldChar w:fldCharType="begin"/>
      </w:r>
      <w:r w:rsidRPr="00B90A24">
        <w:rPr>
          <w:sz w:val="28"/>
          <w:szCs w:val="28"/>
        </w:rPr>
        <w:instrText xml:space="preserve"> REF _Ref10629551 \h </w:instrText>
      </w:r>
      <w:r w:rsidR="004603C9" w:rsidRPr="00B90A24">
        <w:rPr>
          <w:sz w:val="28"/>
          <w:szCs w:val="28"/>
        </w:rPr>
        <w:instrText xml:space="preserve"> \* MERGEFORMAT </w:instrText>
      </w:r>
      <w:r w:rsidRPr="00B90A24">
        <w:rPr>
          <w:sz w:val="28"/>
          <w:szCs w:val="28"/>
        </w:rPr>
      </w:r>
      <w:r w:rsidRPr="00B90A24">
        <w:rPr>
          <w:sz w:val="28"/>
          <w:szCs w:val="28"/>
        </w:rPr>
        <w:fldChar w:fldCharType="separate"/>
      </w:r>
      <w:r w:rsidR="00B122C4" w:rsidRPr="00B90A24">
        <w:rPr>
          <w:sz w:val="28"/>
          <w:szCs w:val="28"/>
        </w:rPr>
        <w:t>Figure</w:t>
      </w:r>
      <w:r w:rsidR="00B122C4" w:rsidRPr="00B90A24">
        <w:rPr>
          <w:noProof/>
          <w:sz w:val="28"/>
          <w:szCs w:val="28"/>
        </w:rPr>
        <w:t xml:space="preserve"> 6</w:t>
      </w:r>
      <w:r w:rsidRPr="00B90A24">
        <w:rPr>
          <w:sz w:val="28"/>
          <w:szCs w:val="28"/>
        </w:rPr>
        <w:fldChar w:fldCharType="end"/>
      </w:r>
      <w:r w:rsidRPr="00B90A24">
        <w:rPr>
          <w:sz w:val="28"/>
          <w:szCs w:val="28"/>
        </w:rPr>
        <w:t xml:space="preserve"> reveals that there is a wider range of scores for African countries than in the first category where the lowest available corporate income tax rate was assessed. Kenya appears to be an outlier. This may be because the country is positioning its capital city Nairobi as a new financial centre for East and Southern Africa as outlined in Kenya’s Vision 2030</w:t>
      </w:r>
      <w:r w:rsidR="002B39EA" w:rsidRPr="00B90A24">
        <w:rPr>
          <w:sz w:val="28"/>
          <w:szCs w:val="28"/>
        </w:rPr>
        <w:t xml:space="preserve"> </w:t>
      </w:r>
      <w:r w:rsidR="002B39EA" w:rsidRPr="00B90A24">
        <w:rPr>
          <w:sz w:val="28"/>
          <w:szCs w:val="28"/>
        </w:rPr>
        <w:fldChar w:fldCharType="begin"/>
      </w:r>
      <w:r w:rsidR="00A06D6C" w:rsidRPr="00B90A24">
        <w:rPr>
          <w:sz w:val="28"/>
          <w:szCs w:val="28"/>
        </w:rPr>
        <w:instrText xml:space="preserve"> ADDIN ZOTERO_ITEM CSL_CITATION {"citationID":"a20vfamcc52","properties":{"formattedCitation":"(Mwanyumba et al., 2017; Ndubai, 2018)","plainCitation":"(Mwanyumba et al., 2017; Ndubai, 2018)","noteIndex":0},"citationItems":[{"id":5907,"uris":["http://zotero.org/groups/997303/items/LXF6PRIW"],"uri":["http://zotero.org/groups/997303/items/LXF6PRIW"],"itemData":{"id":5907,"type":"report","event-place":"Vienna","publisher":"Vienna Institute for International Dialogue and Cooperation","publisher-place":"Vienna","title":"A review of the Nairobi International Financial Centre: Nairobi International Financial Centre or Nairobi Tax Haven","URL":"https://www.globaltaxjustice.org/sites/default/files/nairobi%20tax%20haven%20NIFC.pdf","author":[{"family":"Mwanyumba","given":"Robert"},{"family":"Maranga","given":"Jared"},{"family":"Magare","given":"Matthew"}],"accessed":{"date-parts":[["2020",6,12]]},"issued":{"date-parts":[["2017"]]}}},{"id":4298,"uris":["http://zotero.org/groups/997303/items/X4ZX9RR5"],"uri":["http://zotero.org/groups/997303/items/X4ZX9RR5"],"itemData":{"id":4298,"type":"report","collection-title":"Financial Secrecy Index 2018","publisher":"Tax Justice Network; Tax Justice Network Africa","title":"Narrative Report on Kenya","URL":"https://www.financialsecrecyindex.com/PDF/Kenya.pdf","author":[{"family":"Ndubai","given":"Joy"}],"accessed":{"date-parts":[["2019",6,7]]},"issued":{"date-parts":[["2018"]]}}}],"schema":"https://github.com/citation-style-language/schema/raw/master/csl-citation.json"} </w:instrText>
      </w:r>
      <w:r w:rsidR="002B39EA" w:rsidRPr="00B90A24">
        <w:rPr>
          <w:sz w:val="28"/>
          <w:szCs w:val="28"/>
        </w:rPr>
        <w:fldChar w:fldCharType="separate"/>
      </w:r>
      <w:r w:rsidR="00B133DE" w:rsidRPr="00B90A24">
        <w:rPr>
          <w:rFonts w:cs="Times New Roman"/>
          <w:sz w:val="28"/>
          <w:szCs w:val="28"/>
        </w:rPr>
        <w:t>(Mwanyumba et al., 2017; Ndubai, 2018)</w:t>
      </w:r>
      <w:r w:rsidR="002B39EA" w:rsidRPr="00B90A24">
        <w:rPr>
          <w:sz w:val="28"/>
          <w:szCs w:val="28"/>
        </w:rPr>
        <w:fldChar w:fldCharType="end"/>
      </w:r>
      <w:r w:rsidRPr="00B90A24">
        <w:rPr>
          <w:sz w:val="28"/>
          <w:szCs w:val="28"/>
        </w:rPr>
        <w:t xml:space="preserve">. </w:t>
      </w:r>
      <w:r w:rsidR="002B39EA" w:rsidRPr="00B90A24">
        <w:rPr>
          <w:sz w:val="28"/>
          <w:szCs w:val="28"/>
        </w:rPr>
        <w:t>As assessed in</w:t>
      </w:r>
      <w:r w:rsidRPr="00B90A24">
        <w:rPr>
          <w:sz w:val="28"/>
          <w:szCs w:val="28"/>
        </w:rPr>
        <w:t xml:space="preserve"> the Corporate Tax Haven Index</w:t>
      </w:r>
      <w:r w:rsidR="002B39EA" w:rsidRPr="00B90A24">
        <w:rPr>
          <w:sz w:val="28"/>
          <w:szCs w:val="28"/>
        </w:rPr>
        <w:t>,</w:t>
      </w:r>
      <w:r w:rsidRPr="00B90A24">
        <w:rPr>
          <w:sz w:val="28"/>
          <w:szCs w:val="28"/>
        </w:rPr>
        <w:t xml:space="preserve"> </w:t>
      </w:r>
      <w:r w:rsidR="002B39EA" w:rsidRPr="00B90A24">
        <w:rPr>
          <w:sz w:val="28"/>
          <w:szCs w:val="28"/>
        </w:rPr>
        <w:t>Kenya</w:t>
      </w:r>
      <w:r w:rsidRPr="00B90A24">
        <w:rPr>
          <w:sz w:val="28"/>
          <w:szCs w:val="28"/>
        </w:rPr>
        <w:t xml:space="preserve"> </w:t>
      </w:r>
      <w:r w:rsidR="00103F24" w:rsidRPr="00B90A24">
        <w:rPr>
          <w:sz w:val="28"/>
          <w:szCs w:val="28"/>
        </w:rPr>
        <w:t xml:space="preserve">exempts </w:t>
      </w:r>
      <w:r w:rsidRPr="00B90A24">
        <w:rPr>
          <w:sz w:val="28"/>
          <w:szCs w:val="28"/>
        </w:rPr>
        <w:t xml:space="preserve">foreign investment income </w:t>
      </w:r>
      <w:r w:rsidR="009728ED" w:rsidRPr="00B90A24">
        <w:rPr>
          <w:sz w:val="28"/>
          <w:szCs w:val="28"/>
        </w:rPr>
        <w:t xml:space="preserve">in the form of dividends </w:t>
      </w:r>
      <w:r w:rsidRPr="00B90A24">
        <w:rPr>
          <w:sz w:val="28"/>
          <w:szCs w:val="28"/>
        </w:rPr>
        <w:t xml:space="preserve">from its </w:t>
      </w:r>
      <w:r w:rsidR="00103F24" w:rsidRPr="00B90A24">
        <w:rPr>
          <w:sz w:val="28"/>
          <w:szCs w:val="28"/>
        </w:rPr>
        <w:t xml:space="preserve">corporate </w:t>
      </w:r>
      <w:r w:rsidRPr="00B90A24">
        <w:rPr>
          <w:sz w:val="28"/>
          <w:szCs w:val="28"/>
        </w:rPr>
        <w:t xml:space="preserve">tax base </w:t>
      </w:r>
      <w:r w:rsidR="002B39EA" w:rsidRPr="00B90A24">
        <w:rPr>
          <w:rFonts w:cs="Times New Roman"/>
          <w:sz w:val="28"/>
          <w:szCs w:val="28"/>
        </w:rPr>
        <w:fldChar w:fldCharType="begin"/>
      </w:r>
      <w:r w:rsidR="00B133DE" w:rsidRPr="00B90A24">
        <w:rPr>
          <w:rFonts w:cs="Times New Roman"/>
          <w:sz w:val="28"/>
          <w:szCs w:val="28"/>
        </w:rPr>
        <w:instrText xml:space="preserve"> ADDIN ZOTERO_ITEM CSL_CITATION {"citationID":"i5WscBr8","properties":{"formattedCitation":"(Tax Justice Network, 2019h)","plainCitation":"(Tax Justice Network, 2019h)","noteIndex":0},"citationItems":[{"id":4301,"uris":["http://zotero.org/groups/997303/items/7ZNCRMN7"],"uri":["http://zotero.org/groups/997303/items/7ZNCRMN7"],"itemData":{"id":4301,"type":"report","collection-title":"Corporate Tax Haven Index","publisher":"Tax Justice Network","title":"Kenya Database Report","URL":"https://www.corporatetaxhavenindex.org/database/Kenya.xml","author":[{"family":"Tax Justice Network","given":""}],"accessed":{"date-parts":[["2019",6,7]]},"issued":{"date-parts":[["2019"]]}}}],"schema":"https://github.com/citation-style-language/schema/raw/master/csl-citation.json"} </w:instrText>
      </w:r>
      <w:r w:rsidR="002B39EA" w:rsidRPr="00B90A24">
        <w:rPr>
          <w:rFonts w:cs="Times New Roman"/>
          <w:sz w:val="28"/>
          <w:szCs w:val="28"/>
        </w:rPr>
        <w:fldChar w:fldCharType="separate"/>
      </w:r>
      <w:r w:rsidR="00B133DE" w:rsidRPr="00B90A24">
        <w:rPr>
          <w:rFonts w:cs="Times New Roman"/>
          <w:sz w:val="28"/>
          <w:szCs w:val="28"/>
        </w:rPr>
        <w:t>(Tax Justice Network, 2019h)</w:t>
      </w:r>
      <w:r w:rsidR="002B39EA" w:rsidRPr="00B90A24">
        <w:rPr>
          <w:rFonts w:cs="Times New Roman"/>
          <w:sz w:val="28"/>
          <w:szCs w:val="28"/>
        </w:rPr>
        <w:fldChar w:fldCharType="end"/>
      </w:r>
      <w:r w:rsidRPr="00B90A24">
        <w:rPr>
          <w:sz w:val="28"/>
          <w:szCs w:val="28"/>
        </w:rPr>
        <w:t>. Further, the lowest available capital gains tax rate is zero per cent</w:t>
      </w:r>
      <w:r w:rsidR="006A730E" w:rsidRPr="00B90A24">
        <w:rPr>
          <w:sz w:val="28"/>
          <w:szCs w:val="28"/>
        </w:rPr>
        <w:t xml:space="preserve"> because</w:t>
      </w:r>
      <w:r w:rsidR="007448BC" w:rsidRPr="00B90A24">
        <w:rPr>
          <w:sz w:val="28"/>
          <w:szCs w:val="28"/>
        </w:rPr>
        <w:t xml:space="preserve"> an exemption applies</w:t>
      </w:r>
      <w:r w:rsidR="006A730E" w:rsidRPr="00B90A24">
        <w:rPr>
          <w:sz w:val="28"/>
          <w:szCs w:val="28"/>
        </w:rPr>
        <w:t xml:space="preserve"> </w:t>
      </w:r>
      <w:r w:rsidR="00DE6759" w:rsidRPr="00B90A24">
        <w:rPr>
          <w:sz w:val="28"/>
          <w:szCs w:val="28"/>
        </w:rPr>
        <w:t xml:space="preserve">for domestic securities </w:t>
      </w:r>
      <w:r w:rsidR="007448BC" w:rsidRPr="00B90A24">
        <w:rPr>
          <w:sz w:val="28"/>
          <w:szCs w:val="28"/>
        </w:rPr>
        <w:t>with</w:t>
      </w:r>
      <w:r w:rsidR="00DE6759" w:rsidRPr="00B90A24">
        <w:rPr>
          <w:sz w:val="28"/>
          <w:szCs w:val="28"/>
        </w:rPr>
        <w:t xml:space="preserve"> </w:t>
      </w:r>
      <w:r w:rsidR="00060B26" w:rsidRPr="00B90A24">
        <w:rPr>
          <w:sz w:val="28"/>
          <w:szCs w:val="28"/>
        </w:rPr>
        <w:t>shares listed on the Nairobi Securities Exchange and gains from the disposal of foreign securities is not taxable in Kenya because of its territorial tax system</w:t>
      </w:r>
      <w:r w:rsidR="00191139" w:rsidRPr="00B90A24">
        <w:rPr>
          <w:sz w:val="28"/>
          <w:szCs w:val="28"/>
        </w:rPr>
        <w:t xml:space="preserve"> </w:t>
      </w:r>
      <w:r w:rsidR="00191139" w:rsidRPr="00B90A24">
        <w:rPr>
          <w:sz w:val="28"/>
          <w:szCs w:val="28"/>
        </w:rPr>
        <w:fldChar w:fldCharType="begin"/>
      </w:r>
      <w:r w:rsidR="00B133DE" w:rsidRPr="00B90A24">
        <w:rPr>
          <w:sz w:val="28"/>
          <w:szCs w:val="28"/>
        </w:rPr>
        <w:instrText xml:space="preserve"> ADDIN ZOTERO_ITEM CSL_CITATION {"citationID":"yTesaElD","properties":{"formattedCitation":"(Tax Justice Network, 2019h, n. 15)","plainCitation":"(Tax Justice Network, 2019h, n. 15)","noteIndex":0},"citationItems":[{"id":4301,"uris":["http://zotero.org/groups/997303/items/7ZNCRMN7"],"uri":["http://zotero.org/groups/997303/items/7ZNCRMN7"],"itemData":{"id":4301,"type":"report","collection-title":"Corporate Tax Haven Index","publisher":"Tax Justice Network","title":"Kenya Database Report","URL":"https://www.corporatetaxhavenindex.org/database/Kenya.xml","author":[{"family":"Tax Justice Network","given":""}],"accessed":{"date-parts":[["2019",6,7]]},"issued":{"date-parts":[["2019"]]}},"locator":"15","label":"note"}],"schema":"https://github.com/citation-style-language/schema/raw/master/csl-citation.json"} </w:instrText>
      </w:r>
      <w:r w:rsidR="00191139" w:rsidRPr="00B90A24">
        <w:rPr>
          <w:sz w:val="28"/>
          <w:szCs w:val="28"/>
        </w:rPr>
        <w:fldChar w:fldCharType="separate"/>
      </w:r>
      <w:r w:rsidR="00B133DE" w:rsidRPr="00B90A24">
        <w:rPr>
          <w:rFonts w:cs="Times New Roman"/>
          <w:sz w:val="28"/>
          <w:szCs w:val="28"/>
        </w:rPr>
        <w:t>(Tax Justice Network, 2019h, n. 15)</w:t>
      </w:r>
      <w:r w:rsidR="00191139" w:rsidRPr="00B90A24">
        <w:rPr>
          <w:sz w:val="28"/>
          <w:szCs w:val="28"/>
        </w:rPr>
        <w:fldChar w:fldCharType="end"/>
      </w:r>
      <w:r w:rsidR="00060B26" w:rsidRPr="00B90A24">
        <w:rPr>
          <w:sz w:val="28"/>
          <w:szCs w:val="28"/>
        </w:rPr>
        <w:t xml:space="preserve">. </w:t>
      </w:r>
    </w:p>
    <w:p w14:paraId="1737E873" w14:textId="77777777" w:rsidR="00783A4C" w:rsidRPr="00B90A24" w:rsidRDefault="00783A4C" w:rsidP="00B90A24">
      <w:pPr>
        <w:spacing w:after="0" w:line="240" w:lineRule="auto"/>
        <w:ind w:left="426" w:right="890"/>
        <w:jc w:val="both"/>
        <w:rPr>
          <w:sz w:val="28"/>
          <w:szCs w:val="28"/>
        </w:rPr>
      </w:pPr>
    </w:p>
    <w:p w14:paraId="3BF13221" w14:textId="77777777" w:rsidR="00695178" w:rsidRPr="00B90A24" w:rsidRDefault="00060B26" w:rsidP="00D7338C">
      <w:pPr>
        <w:spacing w:after="0" w:line="240" w:lineRule="auto"/>
        <w:ind w:left="709" w:right="890"/>
        <w:jc w:val="both"/>
        <w:rPr>
          <w:sz w:val="28"/>
          <w:szCs w:val="28"/>
        </w:rPr>
      </w:pPr>
      <w:r w:rsidRPr="00B90A24">
        <w:rPr>
          <w:sz w:val="28"/>
          <w:szCs w:val="28"/>
        </w:rPr>
        <w:t>L</w:t>
      </w:r>
      <w:r w:rsidR="00FC1278" w:rsidRPr="00B90A24">
        <w:rPr>
          <w:sz w:val="28"/>
          <w:szCs w:val="28"/>
        </w:rPr>
        <w:t>osses can be carried forward</w:t>
      </w:r>
      <w:r w:rsidR="00054D68" w:rsidRPr="00B90A24">
        <w:rPr>
          <w:sz w:val="28"/>
          <w:szCs w:val="28"/>
        </w:rPr>
        <w:t xml:space="preserve"> </w:t>
      </w:r>
      <w:r w:rsidR="00191139" w:rsidRPr="00B90A24">
        <w:rPr>
          <w:sz w:val="28"/>
          <w:szCs w:val="28"/>
        </w:rPr>
        <w:t>without restrictions</w:t>
      </w:r>
      <w:r w:rsidR="00FC1278" w:rsidRPr="00B90A24">
        <w:rPr>
          <w:sz w:val="28"/>
          <w:szCs w:val="28"/>
        </w:rPr>
        <w:t xml:space="preserve"> and backward allowing companies to reduce their tax bill</w:t>
      </w:r>
      <w:r w:rsidR="00191139" w:rsidRPr="00B90A24">
        <w:rPr>
          <w:sz w:val="28"/>
          <w:szCs w:val="28"/>
        </w:rPr>
        <w:t>,</w:t>
      </w:r>
      <w:r w:rsidR="00D76BA6" w:rsidRPr="00B90A24">
        <w:rPr>
          <w:sz w:val="28"/>
          <w:szCs w:val="28"/>
        </w:rPr>
        <w:t xml:space="preserve"> </w:t>
      </w:r>
      <w:r w:rsidR="005E3B42" w:rsidRPr="00B90A24">
        <w:rPr>
          <w:sz w:val="28"/>
          <w:szCs w:val="28"/>
        </w:rPr>
        <w:t>for example</w:t>
      </w:r>
      <w:r w:rsidR="00191139" w:rsidRPr="00B90A24">
        <w:rPr>
          <w:sz w:val="28"/>
          <w:szCs w:val="28"/>
        </w:rPr>
        <w:t>,</w:t>
      </w:r>
      <w:r w:rsidR="005E3B42" w:rsidRPr="00B90A24">
        <w:rPr>
          <w:sz w:val="28"/>
          <w:szCs w:val="28"/>
        </w:rPr>
        <w:t xml:space="preserve"> </w:t>
      </w:r>
      <w:r w:rsidR="00C12916" w:rsidRPr="00B90A24">
        <w:rPr>
          <w:sz w:val="28"/>
          <w:szCs w:val="28"/>
        </w:rPr>
        <w:t xml:space="preserve">through </w:t>
      </w:r>
      <w:r w:rsidR="005E3B42" w:rsidRPr="00B90A24">
        <w:rPr>
          <w:sz w:val="28"/>
          <w:szCs w:val="28"/>
        </w:rPr>
        <w:t xml:space="preserve">unfavourable </w:t>
      </w:r>
      <w:r w:rsidR="00D76BA6" w:rsidRPr="00B90A24">
        <w:rPr>
          <w:sz w:val="28"/>
          <w:szCs w:val="28"/>
        </w:rPr>
        <w:t xml:space="preserve">intra-group </w:t>
      </w:r>
      <w:r w:rsidR="008840DE" w:rsidRPr="00B90A24">
        <w:rPr>
          <w:sz w:val="28"/>
          <w:szCs w:val="28"/>
        </w:rPr>
        <w:t>trad</w:t>
      </w:r>
      <w:r w:rsidR="00DF044E" w:rsidRPr="00B90A24">
        <w:rPr>
          <w:sz w:val="28"/>
          <w:szCs w:val="28"/>
        </w:rPr>
        <w:t>es</w:t>
      </w:r>
      <w:r w:rsidR="00FC1278" w:rsidRPr="00B90A24">
        <w:rPr>
          <w:sz w:val="28"/>
          <w:szCs w:val="28"/>
        </w:rPr>
        <w:t xml:space="preserve">. Although </w:t>
      </w:r>
      <w:r w:rsidR="002B39EA" w:rsidRPr="00B90A24">
        <w:rPr>
          <w:sz w:val="28"/>
          <w:szCs w:val="28"/>
        </w:rPr>
        <w:t xml:space="preserve">carrying losses </w:t>
      </w:r>
      <w:r w:rsidR="00FC1278" w:rsidRPr="00B90A24">
        <w:rPr>
          <w:sz w:val="28"/>
          <w:szCs w:val="28"/>
        </w:rPr>
        <w:t>backward is not generally allowed, there is an exception granted to the petroleum exploration industry</w:t>
      </w:r>
      <w:r w:rsidR="002B39EA" w:rsidRPr="00B90A24">
        <w:rPr>
          <w:sz w:val="28"/>
          <w:szCs w:val="28"/>
        </w:rPr>
        <w:t>. L</w:t>
      </w:r>
      <w:r w:rsidR="00FC1278" w:rsidRPr="00B90A24">
        <w:rPr>
          <w:sz w:val="28"/>
          <w:szCs w:val="28"/>
        </w:rPr>
        <w:t xml:space="preserve">osses may be carried forward for all sectors for nine years without an annual ceiling and the </w:t>
      </w:r>
      <w:r w:rsidR="002B39EA" w:rsidRPr="00B90A24">
        <w:rPr>
          <w:sz w:val="28"/>
          <w:szCs w:val="28"/>
        </w:rPr>
        <w:t>c</w:t>
      </w:r>
      <w:r w:rsidR="00FC1278" w:rsidRPr="00B90A24">
        <w:rPr>
          <w:sz w:val="28"/>
          <w:szCs w:val="28"/>
        </w:rPr>
        <w:t>abinet secretary has the discretionary powers to extend the period for losses to be carried forward. Kenya also offers a raft of sectoral tax exemptions</w:t>
      </w:r>
      <w:r w:rsidR="002B39EA" w:rsidRPr="00B90A24">
        <w:rPr>
          <w:sz w:val="28"/>
          <w:szCs w:val="28"/>
        </w:rPr>
        <w:t xml:space="preserve">. For </w:t>
      </w:r>
      <w:r w:rsidR="002B39EA" w:rsidRPr="00B90A24">
        <w:rPr>
          <w:sz w:val="28"/>
          <w:szCs w:val="28"/>
        </w:rPr>
        <w:lastRenderedPageBreak/>
        <w:t xml:space="preserve">example, </w:t>
      </w:r>
      <w:r w:rsidR="00FC1278" w:rsidRPr="00B90A24">
        <w:rPr>
          <w:sz w:val="28"/>
          <w:szCs w:val="28"/>
        </w:rPr>
        <w:t xml:space="preserve">in special economic zones and export processing zones, the corporate income tax rate is either nil or significantly lower than the statutory rate. </w:t>
      </w:r>
    </w:p>
    <w:p w14:paraId="72D5EF8B" w14:textId="77777777" w:rsidR="00695178" w:rsidRPr="00B90A24" w:rsidRDefault="00695178" w:rsidP="00B90A24">
      <w:pPr>
        <w:spacing w:after="0" w:line="240" w:lineRule="auto"/>
        <w:ind w:left="426" w:right="890"/>
        <w:jc w:val="both"/>
        <w:rPr>
          <w:sz w:val="28"/>
          <w:szCs w:val="28"/>
        </w:rPr>
      </w:pPr>
    </w:p>
    <w:p w14:paraId="30E25B78" w14:textId="181EDB76" w:rsidR="00FC1278" w:rsidRPr="00B90A24" w:rsidRDefault="00AF60AC" w:rsidP="00D7338C">
      <w:pPr>
        <w:spacing w:after="0" w:line="240" w:lineRule="auto"/>
        <w:ind w:left="709" w:right="890"/>
        <w:jc w:val="both"/>
        <w:rPr>
          <w:sz w:val="28"/>
          <w:szCs w:val="28"/>
        </w:rPr>
      </w:pPr>
      <w:r w:rsidRPr="00B90A24">
        <w:rPr>
          <w:sz w:val="28"/>
          <w:szCs w:val="28"/>
        </w:rPr>
        <w:fldChar w:fldCharType="begin"/>
      </w:r>
      <w:r w:rsidRPr="00B90A24">
        <w:rPr>
          <w:sz w:val="28"/>
          <w:szCs w:val="28"/>
        </w:rPr>
        <w:instrText xml:space="preserve"> REF _Ref10629551 \h </w:instrText>
      </w:r>
      <w:r w:rsidR="00595FF1" w:rsidRPr="00B90A24">
        <w:rPr>
          <w:sz w:val="28"/>
          <w:szCs w:val="28"/>
        </w:rPr>
        <w:instrText xml:space="preserve"> \* MERGEFORMAT </w:instrText>
      </w:r>
      <w:r w:rsidRPr="00B90A24">
        <w:rPr>
          <w:sz w:val="28"/>
          <w:szCs w:val="28"/>
        </w:rPr>
      </w:r>
      <w:r w:rsidRPr="00B90A24">
        <w:rPr>
          <w:sz w:val="28"/>
          <w:szCs w:val="28"/>
        </w:rPr>
        <w:fldChar w:fldCharType="separate"/>
      </w:r>
      <w:r w:rsidR="00B122C4" w:rsidRPr="00B90A24">
        <w:rPr>
          <w:sz w:val="28"/>
          <w:szCs w:val="28"/>
        </w:rPr>
        <w:t xml:space="preserve">Figure </w:t>
      </w:r>
      <w:r w:rsidR="00B122C4" w:rsidRPr="00B90A24">
        <w:rPr>
          <w:noProof/>
          <w:sz w:val="28"/>
          <w:szCs w:val="28"/>
        </w:rPr>
        <w:t>6</w:t>
      </w:r>
      <w:r w:rsidRPr="00B90A24">
        <w:rPr>
          <w:sz w:val="28"/>
          <w:szCs w:val="28"/>
        </w:rPr>
        <w:fldChar w:fldCharType="end"/>
      </w:r>
      <w:r w:rsidR="00FC1278" w:rsidRPr="00B90A24">
        <w:rPr>
          <w:sz w:val="28"/>
          <w:szCs w:val="28"/>
        </w:rPr>
        <w:t xml:space="preserve"> shows that the difference between the average haven scores of African nations and the </w:t>
      </w:r>
      <w:r w:rsidR="00340231" w:rsidRPr="00B90A24">
        <w:rPr>
          <w:sz w:val="28"/>
          <w:szCs w:val="28"/>
        </w:rPr>
        <w:t>EU</w:t>
      </w:r>
      <w:r w:rsidR="00FC1278" w:rsidRPr="00B90A24">
        <w:rPr>
          <w:sz w:val="28"/>
          <w:szCs w:val="28"/>
        </w:rPr>
        <w:t xml:space="preserve"> and OECD is much smaller than in the first category </w:t>
      </w:r>
      <w:r w:rsidR="00BF55E5" w:rsidRPr="00B90A24">
        <w:rPr>
          <w:sz w:val="28"/>
          <w:szCs w:val="28"/>
        </w:rPr>
        <w:t xml:space="preserve">(LACIT) </w:t>
      </w:r>
      <w:r w:rsidR="00FC1278" w:rsidRPr="00B90A24">
        <w:rPr>
          <w:sz w:val="28"/>
          <w:szCs w:val="28"/>
        </w:rPr>
        <w:t xml:space="preserve">described above. However, </w:t>
      </w:r>
      <w:r w:rsidR="007F4C57" w:rsidRPr="00B90A24">
        <w:rPr>
          <w:sz w:val="28"/>
          <w:szCs w:val="28"/>
        </w:rPr>
        <w:t xml:space="preserve">breaking down the findings into </w:t>
      </w:r>
      <w:r w:rsidR="00FC1278" w:rsidRPr="00B90A24">
        <w:rPr>
          <w:sz w:val="28"/>
          <w:szCs w:val="28"/>
        </w:rPr>
        <w:t>specific indicators is revealing</w:t>
      </w:r>
      <w:r w:rsidR="003B0421" w:rsidRPr="00B90A24">
        <w:rPr>
          <w:sz w:val="28"/>
          <w:szCs w:val="28"/>
        </w:rPr>
        <w:t xml:space="preserve"> (</w:t>
      </w:r>
      <w:r w:rsidR="00FC1278" w:rsidRPr="00B90A24">
        <w:rPr>
          <w:sz w:val="28"/>
          <w:szCs w:val="28"/>
        </w:rPr>
        <w:fldChar w:fldCharType="begin"/>
      </w:r>
      <w:r w:rsidR="00FC1278" w:rsidRPr="00B90A24">
        <w:rPr>
          <w:sz w:val="28"/>
          <w:szCs w:val="28"/>
        </w:rPr>
        <w:instrText xml:space="preserve"> REF _Ref10809292 </w:instrText>
      </w:r>
      <w:r w:rsidR="00E17E00" w:rsidRPr="00B90A24">
        <w:rPr>
          <w:sz w:val="28"/>
          <w:szCs w:val="28"/>
        </w:rPr>
        <w:instrText xml:space="preserve"> \* MERGEFORMAT </w:instrText>
      </w:r>
      <w:r w:rsidR="00FC1278" w:rsidRPr="00B90A24">
        <w:rPr>
          <w:sz w:val="28"/>
          <w:szCs w:val="28"/>
        </w:rPr>
        <w:fldChar w:fldCharType="separate"/>
      </w:r>
      <w:r w:rsidR="00B122C4" w:rsidRPr="00B90A24">
        <w:rPr>
          <w:noProof/>
          <w:sz w:val="28"/>
          <w:szCs w:val="28"/>
        </w:rPr>
        <w:t>Figure</w:t>
      </w:r>
      <w:r w:rsidR="00B122C4" w:rsidRPr="00B90A24">
        <w:rPr>
          <w:sz w:val="28"/>
          <w:szCs w:val="28"/>
        </w:rPr>
        <w:t xml:space="preserve"> </w:t>
      </w:r>
      <w:r w:rsidR="00B122C4" w:rsidRPr="00B90A24">
        <w:rPr>
          <w:noProof/>
          <w:sz w:val="28"/>
          <w:szCs w:val="28"/>
        </w:rPr>
        <w:t>7</w:t>
      </w:r>
      <w:r w:rsidR="00FC1278" w:rsidRPr="00B90A24">
        <w:rPr>
          <w:sz w:val="28"/>
          <w:szCs w:val="28"/>
        </w:rPr>
        <w:fldChar w:fldCharType="end"/>
      </w:r>
      <w:r w:rsidR="003B0421" w:rsidRPr="00B90A24">
        <w:rPr>
          <w:sz w:val="28"/>
          <w:szCs w:val="28"/>
        </w:rPr>
        <w:t>)</w:t>
      </w:r>
      <w:r w:rsidR="00FC1278" w:rsidRPr="00B90A24">
        <w:rPr>
          <w:sz w:val="28"/>
          <w:szCs w:val="28"/>
        </w:rPr>
        <w:t xml:space="preserve">. On </w:t>
      </w:r>
      <w:r w:rsidR="003B0421" w:rsidRPr="00B90A24">
        <w:rPr>
          <w:sz w:val="28"/>
          <w:szCs w:val="28"/>
        </w:rPr>
        <w:t xml:space="preserve">the </w:t>
      </w:r>
      <w:r w:rsidR="00FC1278" w:rsidRPr="00B90A24">
        <w:rPr>
          <w:sz w:val="28"/>
          <w:szCs w:val="28"/>
        </w:rPr>
        <w:t xml:space="preserve">one hand, African countries perform better on average than the OECD and the </w:t>
      </w:r>
      <w:r w:rsidR="00340231" w:rsidRPr="00B90A24">
        <w:rPr>
          <w:sz w:val="28"/>
          <w:szCs w:val="28"/>
        </w:rPr>
        <w:t>EU</w:t>
      </w:r>
      <w:r w:rsidR="00FC1278" w:rsidRPr="00B90A24">
        <w:rPr>
          <w:sz w:val="28"/>
          <w:szCs w:val="28"/>
        </w:rPr>
        <w:t xml:space="preserve"> on the indicators for capital gains taxation, sectoral exemptions, fictional interest deduction, foreign investment income treatment and patent boxes. On the other hand, African countries have higher haven scores on average for two indicators: loss utilisation, which assesses the availability of </w:t>
      </w:r>
      <w:r w:rsidR="00767422" w:rsidRPr="00B90A24">
        <w:rPr>
          <w:sz w:val="28"/>
          <w:szCs w:val="28"/>
        </w:rPr>
        <w:t xml:space="preserve">unrestricted </w:t>
      </w:r>
      <w:r w:rsidR="00FC1278" w:rsidRPr="00B90A24">
        <w:rPr>
          <w:sz w:val="28"/>
          <w:szCs w:val="28"/>
        </w:rPr>
        <w:t>loss carry forward and loss carry backward, and tax holidays and economic zones.</w:t>
      </w:r>
    </w:p>
    <w:p w14:paraId="1FC1081B" w14:textId="77777777" w:rsidR="00783A4C" w:rsidRPr="00B90A24" w:rsidRDefault="00783A4C" w:rsidP="00B90A24">
      <w:pPr>
        <w:spacing w:after="0" w:line="240" w:lineRule="auto"/>
        <w:jc w:val="both"/>
        <w:rPr>
          <w:sz w:val="28"/>
          <w:szCs w:val="28"/>
        </w:rPr>
      </w:pPr>
    </w:p>
    <w:p w14:paraId="5EC56748" w14:textId="77777777" w:rsidR="00191139" w:rsidRPr="00B90A24" w:rsidRDefault="00191139" w:rsidP="00B90A24">
      <w:pPr>
        <w:pStyle w:val="Caption"/>
        <w:spacing w:after="0"/>
        <w:ind w:left="851"/>
        <w:rPr>
          <w:sz w:val="28"/>
          <w:szCs w:val="28"/>
        </w:rPr>
      </w:pPr>
      <w:bookmarkStart w:id="25" w:name="_Ref10809292"/>
      <w:bookmarkStart w:id="26" w:name="_Ref10809286"/>
      <w:bookmarkStart w:id="27" w:name="_Toc17883039"/>
      <w:bookmarkStart w:id="28" w:name="_Hlk34901225"/>
      <w:r w:rsidRPr="00B90A24">
        <w:rPr>
          <w:noProof/>
          <w:sz w:val="28"/>
          <w:szCs w:val="28"/>
        </w:rPr>
        <w:drawing>
          <wp:inline distT="0" distB="0" distL="0" distR="0" wp14:anchorId="1BD5ABEE" wp14:editId="4CB3F63A">
            <wp:extent cx="5556739" cy="3136900"/>
            <wp:effectExtent l="0" t="0" r="6350" b="12700"/>
            <wp:docPr id="1" name="Chart 1">
              <a:extLst xmlns:a="http://schemas.openxmlformats.org/drawingml/2006/main">
                <a:ext uri="{FF2B5EF4-FFF2-40B4-BE49-F238E27FC236}">
                  <a16:creationId xmlns:a16="http://schemas.microsoft.com/office/drawing/2014/main" id="{AE1E2783-1F95-4A5B-86F2-B9CCFADCDE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8F6B3A" w14:textId="1A372767" w:rsidR="00AF60AC" w:rsidRPr="00B90A24" w:rsidRDefault="00AF60AC" w:rsidP="00D7338C">
      <w:pPr>
        <w:pStyle w:val="Caption"/>
        <w:spacing w:after="0"/>
        <w:ind w:left="851" w:right="748"/>
        <w:jc w:val="both"/>
        <w:rPr>
          <w:sz w:val="28"/>
          <w:szCs w:val="28"/>
        </w:rPr>
      </w:pPr>
      <w:r w:rsidRPr="00B90A24">
        <w:rPr>
          <w:sz w:val="28"/>
          <w:szCs w:val="28"/>
        </w:rPr>
        <w:t xml:space="preserve">Figure </w:t>
      </w:r>
      <w:r w:rsidRPr="00B90A24">
        <w:rPr>
          <w:sz w:val="28"/>
          <w:szCs w:val="28"/>
        </w:rPr>
        <w:fldChar w:fldCharType="begin"/>
      </w:r>
      <w:r w:rsidRPr="00B90A24">
        <w:rPr>
          <w:sz w:val="28"/>
          <w:szCs w:val="28"/>
        </w:rPr>
        <w:instrText>SEQ Figure \* ARABIC</w:instrText>
      </w:r>
      <w:r w:rsidRPr="00B90A24">
        <w:rPr>
          <w:sz w:val="28"/>
          <w:szCs w:val="28"/>
        </w:rPr>
        <w:fldChar w:fldCharType="separate"/>
      </w:r>
      <w:r w:rsidR="000448CA" w:rsidRPr="00B90A24">
        <w:rPr>
          <w:noProof/>
          <w:sz w:val="28"/>
          <w:szCs w:val="28"/>
        </w:rPr>
        <w:t>7</w:t>
      </w:r>
      <w:r w:rsidRPr="00B90A24">
        <w:rPr>
          <w:sz w:val="28"/>
          <w:szCs w:val="28"/>
        </w:rPr>
        <w:fldChar w:fldCharType="end"/>
      </w:r>
      <w:bookmarkEnd w:id="25"/>
      <w:r w:rsidRPr="00B90A24">
        <w:rPr>
          <w:sz w:val="28"/>
          <w:szCs w:val="28"/>
        </w:rPr>
        <w:t>. Comparison of Loopholes and Gaps Indicators for African countries, EU and OECD</w:t>
      </w:r>
      <w:bookmarkEnd w:id="26"/>
      <w:bookmarkEnd w:id="27"/>
    </w:p>
    <w:bookmarkEnd w:id="28"/>
    <w:p w14:paraId="5167E9C1" w14:textId="77777777" w:rsidR="00783A4C" w:rsidRPr="00B90A24" w:rsidRDefault="00783A4C" w:rsidP="00B90A24">
      <w:pPr>
        <w:spacing w:after="0" w:line="240" w:lineRule="auto"/>
        <w:jc w:val="both"/>
        <w:rPr>
          <w:sz w:val="28"/>
          <w:szCs w:val="28"/>
        </w:rPr>
      </w:pPr>
    </w:p>
    <w:p w14:paraId="31015CD4" w14:textId="0AB95ACC" w:rsidR="00695178" w:rsidRPr="00B90A24" w:rsidRDefault="00AF60AC" w:rsidP="00B90A24">
      <w:pPr>
        <w:spacing w:after="0" w:line="240" w:lineRule="auto"/>
        <w:ind w:left="567" w:right="890"/>
        <w:jc w:val="both"/>
        <w:rPr>
          <w:sz w:val="28"/>
          <w:szCs w:val="28"/>
        </w:rPr>
      </w:pPr>
      <w:r w:rsidRPr="00B90A24">
        <w:rPr>
          <w:sz w:val="28"/>
          <w:szCs w:val="28"/>
        </w:rPr>
        <w:t xml:space="preserve">The greatest difference in haven scores between African countries and those countries in the OECD and </w:t>
      </w:r>
      <w:r w:rsidR="00340231" w:rsidRPr="00B90A24">
        <w:rPr>
          <w:sz w:val="28"/>
          <w:szCs w:val="28"/>
        </w:rPr>
        <w:t>EU</w:t>
      </w:r>
      <w:r w:rsidRPr="00B90A24">
        <w:rPr>
          <w:sz w:val="28"/>
          <w:szCs w:val="28"/>
        </w:rPr>
        <w:t xml:space="preserve"> is observed for economic zones and tax holidays</w:t>
      </w:r>
      <w:r w:rsidR="00D30371" w:rsidRPr="00B90A24">
        <w:rPr>
          <w:sz w:val="28"/>
          <w:szCs w:val="28"/>
        </w:rPr>
        <w:t xml:space="preserve">, where African nations </w:t>
      </w:r>
      <w:r w:rsidR="0082243E" w:rsidRPr="00B90A24">
        <w:rPr>
          <w:sz w:val="28"/>
          <w:szCs w:val="28"/>
        </w:rPr>
        <w:t>have on average higher haven scores than the other blocs. This finding</w:t>
      </w:r>
      <w:r w:rsidRPr="00B90A24">
        <w:rPr>
          <w:sz w:val="28"/>
          <w:szCs w:val="28"/>
        </w:rPr>
        <w:t xml:space="preserve"> confirms earlier research showing </w:t>
      </w:r>
      <w:r w:rsidR="0082243E" w:rsidRPr="00B90A24">
        <w:rPr>
          <w:sz w:val="28"/>
          <w:szCs w:val="28"/>
        </w:rPr>
        <w:t xml:space="preserve">the </w:t>
      </w:r>
      <w:r w:rsidR="00DE779B" w:rsidRPr="00B90A24">
        <w:rPr>
          <w:sz w:val="28"/>
          <w:szCs w:val="28"/>
        </w:rPr>
        <w:t xml:space="preserve">wide proliferation </w:t>
      </w:r>
      <w:r w:rsidR="00561E1F" w:rsidRPr="00B90A24">
        <w:rPr>
          <w:sz w:val="28"/>
          <w:szCs w:val="28"/>
        </w:rPr>
        <w:t xml:space="preserve">of economic zones and tax holidays in Africa </w:t>
      </w:r>
      <w:r w:rsidR="00344D2D" w:rsidRPr="00B90A24">
        <w:rPr>
          <w:sz w:val="28"/>
          <w:szCs w:val="28"/>
        </w:rPr>
        <w:fldChar w:fldCharType="begin"/>
      </w:r>
      <w:r w:rsidR="00500851" w:rsidRPr="00B90A24">
        <w:rPr>
          <w:sz w:val="28"/>
          <w:szCs w:val="28"/>
        </w:rPr>
        <w:instrText xml:space="preserve"> ADDIN ZOTERO_ITEM CSL_CITATION {"citationID":"iUgIkvvl","properties":{"formattedCitation":"(International Monetary Fund et al., 2015, p. 9; Stausholm, 2017)","plainCitation":"(International Monetary Fund et al., 2015, p. 9; Stausholm, 2017)","noteIndex":0},"citationItems":[{"id":2993,"uris":["http://zotero.org/groups/997303/items/NVNBRAFX"],"uri":["http://zotero.org/groups/997303/items/NVNBRAFX"],"itemData":{"id":2993,"type":"report","language":"en","note":"DOI: 10.1596/22923","publisher":"World Bank","source":"CrossRef","title":"Options for Low Income Countries Effective and Efficient Use of Tax Incentives for Investment: A Report to the G-20 Development Working Group by the IMF, OECD, UN and World Bank","title-short":"Options for Low Income Countries Effective and Efficient Use of Tax Incentives for Investment","URL":"http://elibrary.worldbank.org/doi/book/10.1596/22923","author":[{"literal":"International Monetary Fund"},{"literal":"OECD"},{"literal":"United Nations"},{"literal":"World Bank"}],"accessed":{"date-parts":[["2018",3,28]]},"issued":{"date-parts":[["2015",10,15]]}},"locator":"9"},{"id":3064,"uris":["http://zotero.org/groups/997303/items/B9642VNJ"],"uri":["http://zotero.org/groups/997303/items/B9642VNJ"],"itemData":{"id":3064,"type":"article-journal","abstract":"Developing countries employ tax incentives in the hope of attracting investors, but questions remain on the effects of these policies. Asking whether tax incentives undermine or facilitate development, this paper investigates tax rates and tax holidays in terms of both economic and social impacts in developing countries 1985-2014 in the largest panel data set ever deployed for this purpose. The collection of new data results in three major contributions to the existing literature. First, the analysis shows that the use of tax holidays has increased over the last decade throughout all four regions surveyed: Latin America, Asia, Africa and the Caribbean. Second, the analysis finds that the effect of tax holidays on FDI is negligible and decreasing, and importantly, that it does not translate into neither real capital accumulation nor economic growth. Third, the paper then investigates how the revenue losses from tax incentives can mean real differences for human development by analyzing the effect on tax revenues, spending, health  and education outcomes. The paper concludes that tax holidays are negatively correlated with tax revenues, and as revenues decrease, the spending on education decreases. This has real effects, as evidenced by a significant negative correlation with enrollment in primary education. The analysis concludes that tax holidays overall have more negative than positive impacts on sustainable development.","container-title":"SocArXiv","DOI":"10.31235/osf.io/4sn3k","source":"osf.io","title":"Rise of ineffective incentives: New empirical evidence on tax holidays in developing countries","title-short":"Rise of ineffective incentives","URL":"https://osf.io/preprints/socarxiv/4sn3k/","author":[{"family":"Stausholm","given":"Saila Naomi"}],"accessed":{"date-parts":[["2018",10,10]]},"issued":{"date-parts":[["2017",12,13]]}}}],"schema":"https://github.com/citation-style-language/schema/raw/master/csl-citation.json"} </w:instrText>
      </w:r>
      <w:r w:rsidR="00344D2D" w:rsidRPr="00B90A24">
        <w:rPr>
          <w:sz w:val="28"/>
          <w:szCs w:val="28"/>
        </w:rPr>
        <w:fldChar w:fldCharType="separate"/>
      </w:r>
      <w:r w:rsidR="00B133DE" w:rsidRPr="00B90A24">
        <w:rPr>
          <w:rFonts w:cs="Times New Roman"/>
          <w:sz w:val="28"/>
          <w:szCs w:val="28"/>
        </w:rPr>
        <w:t>(International Monetary Fund et al., 2015, p. 9; Stausholm, 2017)</w:t>
      </w:r>
      <w:r w:rsidR="00344D2D" w:rsidRPr="00B90A24">
        <w:rPr>
          <w:sz w:val="28"/>
          <w:szCs w:val="28"/>
        </w:rPr>
        <w:fldChar w:fldCharType="end"/>
      </w:r>
      <w:r w:rsidR="00561E1F" w:rsidRPr="00B90A24">
        <w:rPr>
          <w:sz w:val="28"/>
          <w:szCs w:val="28"/>
        </w:rPr>
        <w:t xml:space="preserve">. For example, </w:t>
      </w:r>
      <w:r w:rsidRPr="00B90A24">
        <w:rPr>
          <w:sz w:val="28"/>
          <w:szCs w:val="28"/>
        </w:rPr>
        <w:t>African nations on average offer three profit-based tax incentives, such as economic zones and tax holidays, for every one cost-based tax incentive while European nations on average offer a near one-</w:t>
      </w:r>
      <w:r w:rsidRPr="00B90A24">
        <w:rPr>
          <w:rFonts w:cs="Times New Roman"/>
          <w:sz w:val="28"/>
          <w:szCs w:val="28"/>
        </w:rPr>
        <w:t>to-one ratio of tax incentive types</w:t>
      </w:r>
      <w:r w:rsidR="00215F1B" w:rsidRPr="00B90A24">
        <w:rPr>
          <w:rFonts w:cs="Times New Roman"/>
          <w:sz w:val="28"/>
          <w:szCs w:val="28"/>
        </w:rPr>
        <w:t xml:space="preserve"> </w:t>
      </w:r>
      <w:r w:rsidRPr="00B90A24">
        <w:rPr>
          <w:rFonts w:cs="Times New Roman"/>
          <w:sz w:val="28"/>
          <w:szCs w:val="28"/>
        </w:rPr>
        <w:fldChar w:fldCharType="begin"/>
      </w:r>
      <w:r w:rsidR="00500851" w:rsidRPr="00B90A24">
        <w:rPr>
          <w:rFonts w:cs="Times New Roman"/>
          <w:sz w:val="28"/>
          <w:szCs w:val="28"/>
        </w:rPr>
        <w:instrText xml:space="preserve"> ADDIN ZOTERO_ITEM CSL_CITATION {"citationID":"AnyxMmnk","properties":{"formattedCitation":"(Meinzer et al., 2019)","plainCitation":"(Meinzer et al., 2019)","noteIndex":0},"citationItems":[{"id":3689,"uris":["http://zotero.org/groups/997303/items/FMVC7FGM"],"uri":["http://zotero.org/groups/997303/items/FMVC7FGM"],"itemData":{"id":3689,"type":"report","abstract":"Recent research suggests that profit based tax incentives are costly, tend to fail in attracting additional desirable foreign direct investment, and are problematic especially when they are temporary (eg tax holidays), geographically confined (eg economic zones) and when they provide full tax exemption/nil taxation (vs. tax reduction concession). Yet, there is no publicly available dataset that would allow systematic panel analyses across jurisdictions of these phenomena. This research gap limits the validity and reliability of existing research findings, and constrains future research into the relative effects and costs of tax incentives. Therefore, we analyse 15 countries, testing data availability, comparability and potential criteria for establishing an assessment matrix for a public cross-country dataset of profit based tax incentives. Preliminary findings suggest that when compared, high income countries tend to offer more cost based incentives, while middle and low income countries most often rely on special economic zones and tax holidays.","language":"en","page":"43","source":"Zotero","title":"Comparing tax incentives across jurisdictions: a pilot study","URL":"https://www.taxjustice.net/wp-content/uploads/2018/12/Comparing-tax-incentives-across-jurisdictions_Tax-Justice-Network_2019.pdf","author":[{"family":"Meinzer","given":"Markus"},{"family":"Ndajiwo","given":"Mustapha"},{"family":"Etter-Phoya","given":"Rachel"},{"family":"Diakité","given":"Maïmouna"}],"accessed":{"date-parts":[["2019",7,3]]},"issued":{"date-parts":[["2019"]]}}}],"schema":"https://github.com/citation-style-language/schema/raw/master/csl-citation.json"} </w:instrText>
      </w:r>
      <w:r w:rsidRPr="00B90A24">
        <w:rPr>
          <w:rFonts w:cs="Times New Roman"/>
          <w:sz w:val="28"/>
          <w:szCs w:val="28"/>
        </w:rPr>
        <w:fldChar w:fldCharType="separate"/>
      </w:r>
      <w:r w:rsidR="00B133DE" w:rsidRPr="00B90A24">
        <w:rPr>
          <w:rFonts w:cs="Times New Roman"/>
          <w:sz w:val="28"/>
          <w:szCs w:val="28"/>
        </w:rPr>
        <w:t>(Meinzer et al., 2019)</w:t>
      </w:r>
      <w:r w:rsidRPr="00B90A24">
        <w:rPr>
          <w:rFonts w:cs="Times New Roman"/>
          <w:sz w:val="28"/>
          <w:szCs w:val="28"/>
        </w:rPr>
        <w:fldChar w:fldCharType="end"/>
      </w:r>
      <w:r w:rsidR="00215F1B" w:rsidRPr="00B90A24">
        <w:rPr>
          <w:rFonts w:cs="Times New Roman"/>
          <w:sz w:val="28"/>
          <w:szCs w:val="28"/>
        </w:rPr>
        <w:t>.</w:t>
      </w:r>
      <w:r w:rsidR="00FC1278" w:rsidRPr="00B90A24">
        <w:rPr>
          <w:rFonts w:cs="Times New Roman"/>
          <w:sz w:val="28"/>
          <w:szCs w:val="28"/>
        </w:rPr>
        <w:t xml:space="preserve"> Cost-based tax incentives </w:t>
      </w:r>
      <w:r w:rsidR="007448BC" w:rsidRPr="00B90A24">
        <w:rPr>
          <w:rFonts w:cs="Times New Roman"/>
          <w:sz w:val="28"/>
          <w:szCs w:val="28"/>
        </w:rPr>
        <w:t xml:space="preserve">aim to </w:t>
      </w:r>
      <w:r w:rsidR="00FC1278" w:rsidRPr="00B90A24">
        <w:rPr>
          <w:rFonts w:cs="Times New Roman"/>
          <w:sz w:val="28"/>
          <w:szCs w:val="28"/>
        </w:rPr>
        <w:t>lower the</w:t>
      </w:r>
      <w:r w:rsidR="00FC1278" w:rsidRPr="00B90A24">
        <w:rPr>
          <w:sz w:val="28"/>
          <w:szCs w:val="28"/>
        </w:rPr>
        <w:t xml:space="preserve"> cost of capital by allowing deductions related to investment and as a result, they may encourage investment that would not have otherwise been made</w:t>
      </w:r>
      <w:r w:rsidR="007448BC" w:rsidRPr="00B90A24">
        <w:rPr>
          <w:sz w:val="28"/>
          <w:szCs w:val="28"/>
        </w:rPr>
        <w:t xml:space="preserve">. </w:t>
      </w:r>
    </w:p>
    <w:p w14:paraId="600E2F11" w14:textId="77777777" w:rsidR="00695178" w:rsidRPr="00B90A24" w:rsidRDefault="00695178" w:rsidP="00B90A24">
      <w:pPr>
        <w:spacing w:after="0" w:line="240" w:lineRule="auto"/>
        <w:ind w:left="567" w:right="890"/>
        <w:jc w:val="both"/>
        <w:rPr>
          <w:sz w:val="28"/>
          <w:szCs w:val="28"/>
        </w:rPr>
      </w:pPr>
    </w:p>
    <w:p w14:paraId="1BFB74A6" w14:textId="4E890D5F" w:rsidR="00AF60AC" w:rsidRPr="00B90A24" w:rsidRDefault="007448BC" w:rsidP="00B90A24">
      <w:pPr>
        <w:spacing w:after="0" w:line="240" w:lineRule="auto"/>
        <w:ind w:left="567" w:right="890"/>
        <w:jc w:val="both"/>
        <w:rPr>
          <w:sz w:val="28"/>
          <w:szCs w:val="28"/>
        </w:rPr>
      </w:pPr>
      <w:r w:rsidRPr="00B90A24">
        <w:rPr>
          <w:sz w:val="28"/>
          <w:szCs w:val="28"/>
        </w:rPr>
        <w:lastRenderedPageBreak/>
        <w:t xml:space="preserve">However, </w:t>
      </w:r>
      <w:r w:rsidR="00FC1278" w:rsidRPr="00B90A24">
        <w:rPr>
          <w:sz w:val="28"/>
          <w:szCs w:val="28"/>
        </w:rPr>
        <w:t>profit-based tax incentives reduce that tax on income</w:t>
      </w:r>
      <w:r w:rsidRPr="00B90A24">
        <w:rPr>
          <w:sz w:val="28"/>
          <w:szCs w:val="28"/>
        </w:rPr>
        <w:t>;</w:t>
      </w:r>
      <w:r w:rsidR="00FC1278" w:rsidRPr="00B90A24">
        <w:rPr>
          <w:sz w:val="28"/>
          <w:szCs w:val="28"/>
        </w:rPr>
        <w:t xml:space="preserve"> so instead of encouraging new investment, </w:t>
      </w:r>
      <w:r w:rsidRPr="00B90A24">
        <w:rPr>
          <w:sz w:val="28"/>
          <w:szCs w:val="28"/>
        </w:rPr>
        <w:t xml:space="preserve">profit-based tax incentives </w:t>
      </w:r>
      <w:r w:rsidR="00FC1278" w:rsidRPr="00B90A24">
        <w:rPr>
          <w:sz w:val="28"/>
          <w:szCs w:val="28"/>
        </w:rPr>
        <w:t>make profitable projects even more profitable</w:t>
      </w:r>
      <w:r w:rsidR="000637A3" w:rsidRPr="00B90A24">
        <w:rPr>
          <w:sz w:val="28"/>
          <w:szCs w:val="28"/>
        </w:rPr>
        <w:t xml:space="preserve"> </w:t>
      </w:r>
      <w:r w:rsidR="00AF60AC" w:rsidRPr="00B90A24">
        <w:rPr>
          <w:sz w:val="28"/>
          <w:szCs w:val="28"/>
        </w:rPr>
        <w:fldChar w:fldCharType="begin"/>
      </w:r>
      <w:r w:rsidR="00500851" w:rsidRPr="00B90A24">
        <w:rPr>
          <w:sz w:val="28"/>
          <w:szCs w:val="28"/>
        </w:rPr>
        <w:instrText xml:space="preserve"> ADDIN ZOTERO_ITEM CSL_CITATION {"citationID":"MWj3ltRW","properties":{"formattedCitation":"(International Monetary Fund et al., 2015, p. 20)","plainCitation":"(International Monetary Fund et al., 2015, p. 20)","noteIndex":0},"citationItems":[{"id":2993,"uris":["http://zotero.org/groups/997303/items/NVNBRAFX"],"uri":["http://zotero.org/groups/997303/items/NVNBRAFX"],"itemData":{"id":2993,"type":"report","language":"en","note":"DOI: 10.1596/22923","publisher":"World Bank","source":"CrossRef","title":"Options for Low Income Countries Effective and Efficient Use of Tax Incentives for Investment: A Report to the G-20 Development Working Group by the IMF, OECD, UN and World Bank","title-short":"Options for Low Income Countries Effective and Efficient Use of Tax Incentives for Investment","URL":"http://elibrary.worldbank.org/doi/book/10.1596/22923","author":[{"literal":"International Monetary Fund"},{"literal":"OECD"},{"literal":"United Nations"},{"literal":"World Bank"}],"accessed":{"date-parts":[["2018",3,28]]},"issued":{"date-parts":[["2015",10,15]]}},"locator":"20"}],"schema":"https://github.com/citation-style-language/schema/raw/master/csl-citation.json"} </w:instrText>
      </w:r>
      <w:r w:rsidR="00AF60AC" w:rsidRPr="00B90A24">
        <w:rPr>
          <w:sz w:val="28"/>
          <w:szCs w:val="28"/>
        </w:rPr>
        <w:fldChar w:fldCharType="separate"/>
      </w:r>
      <w:r w:rsidR="00B133DE" w:rsidRPr="00B90A24">
        <w:rPr>
          <w:rFonts w:cs="Times New Roman"/>
          <w:sz w:val="28"/>
          <w:szCs w:val="28"/>
        </w:rPr>
        <w:t>(International Monetary Fund et al., 2015, p. 20)</w:t>
      </w:r>
      <w:r w:rsidR="00AF60AC" w:rsidRPr="00B90A24">
        <w:rPr>
          <w:sz w:val="28"/>
          <w:szCs w:val="28"/>
        </w:rPr>
        <w:fldChar w:fldCharType="end"/>
      </w:r>
      <w:r w:rsidR="000637A3" w:rsidRPr="00B90A24">
        <w:rPr>
          <w:sz w:val="28"/>
          <w:szCs w:val="28"/>
        </w:rPr>
        <w:t>.</w:t>
      </w:r>
      <w:r w:rsidR="00783A4C" w:rsidRPr="00B90A24">
        <w:rPr>
          <w:sz w:val="28"/>
          <w:szCs w:val="28"/>
        </w:rPr>
        <w:t xml:space="preserve"> </w:t>
      </w:r>
      <w:r w:rsidR="00AF60AC" w:rsidRPr="00B90A24">
        <w:rPr>
          <w:sz w:val="28"/>
          <w:szCs w:val="28"/>
        </w:rPr>
        <w:t>In Kenya, Ghana, Tanzania and Mauritius, special tax incentives in a limited geographical area</w:t>
      </w:r>
      <w:r w:rsidR="00AF60AC" w:rsidRPr="00B90A24">
        <w:rPr>
          <w:rFonts w:ascii="Arial" w:hAnsi="Arial" w:cs="Arial"/>
          <w:color w:val="222222"/>
          <w:sz w:val="28"/>
          <w:szCs w:val="28"/>
          <w:shd w:val="clear" w:color="auto" w:fill="FFFFFF"/>
        </w:rPr>
        <w:t>—</w:t>
      </w:r>
      <w:r w:rsidR="00783A4C" w:rsidRPr="00B90A24">
        <w:rPr>
          <w:rFonts w:ascii="Arial" w:hAnsi="Arial" w:cs="Arial"/>
          <w:color w:val="222222"/>
          <w:sz w:val="28"/>
          <w:szCs w:val="28"/>
          <w:shd w:val="clear" w:color="auto" w:fill="FFFFFF"/>
        </w:rPr>
        <w:t xml:space="preserve"> </w:t>
      </w:r>
      <w:r w:rsidR="00AF60AC" w:rsidRPr="00B90A24">
        <w:rPr>
          <w:sz w:val="28"/>
          <w:szCs w:val="28"/>
        </w:rPr>
        <w:t>such as in freeports, export processing zones, special economic zones, and so on</w:t>
      </w:r>
      <w:r w:rsidR="00AF60AC" w:rsidRPr="00B90A24">
        <w:rPr>
          <w:rFonts w:ascii="Arial" w:hAnsi="Arial" w:cs="Arial"/>
          <w:color w:val="222222"/>
          <w:sz w:val="28"/>
          <w:szCs w:val="28"/>
          <w:shd w:val="clear" w:color="auto" w:fill="FFFFFF"/>
        </w:rPr>
        <w:t>—</w:t>
      </w:r>
      <w:r w:rsidR="00AF60AC" w:rsidRPr="00B90A24">
        <w:rPr>
          <w:sz w:val="28"/>
          <w:szCs w:val="28"/>
        </w:rPr>
        <w:t>or special tax holidays available over a set period of time receive high haven scores. For example, in Tanzania, companies in the free zone under the Zanzibar Investment and Promotion Act of 2004 are exempt from corporate income tax for the first 20 years and investors in Tanzania’s export processing zones are exempt from corporate income tax for the initial 10 years.</w:t>
      </w:r>
      <w:r w:rsidR="00AF60AC" w:rsidRPr="00B90A24">
        <w:rPr>
          <w:rStyle w:val="FootnoteReference"/>
          <w:sz w:val="28"/>
          <w:szCs w:val="28"/>
        </w:rPr>
        <w:footnoteReference w:id="13"/>
      </w:r>
      <w:r w:rsidR="00AF60AC" w:rsidRPr="00B90A24">
        <w:rPr>
          <w:sz w:val="28"/>
          <w:szCs w:val="28"/>
        </w:rPr>
        <w:t xml:space="preserve"> </w:t>
      </w:r>
    </w:p>
    <w:p w14:paraId="230D65AD" w14:textId="77777777" w:rsidR="00783A4C" w:rsidRPr="00B90A24" w:rsidRDefault="00783A4C" w:rsidP="00B90A24">
      <w:pPr>
        <w:spacing w:after="0" w:line="240" w:lineRule="auto"/>
        <w:ind w:left="567" w:right="890"/>
        <w:jc w:val="both"/>
        <w:rPr>
          <w:sz w:val="28"/>
          <w:szCs w:val="28"/>
        </w:rPr>
      </w:pPr>
    </w:p>
    <w:p w14:paraId="18B6B7DC" w14:textId="50C8D74A" w:rsidR="00FC1278" w:rsidRPr="00B90A24" w:rsidRDefault="00FC1278" w:rsidP="00B90A24">
      <w:pPr>
        <w:spacing w:after="0" w:line="240" w:lineRule="auto"/>
        <w:ind w:left="567" w:right="890"/>
        <w:jc w:val="both"/>
        <w:rPr>
          <w:rFonts w:eastAsia="Times New Roman" w:cs="Times New Roman"/>
          <w:sz w:val="28"/>
          <w:szCs w:val="28"/>
        </w:rPr>
      </w:pPr>
      <w:r w:rsidRPr="00B90A24">
        <w:rPr>
          <w:rFonts w:eastAsia="Times New Roman" w:cs="Times New Roman"/>
          <w:sz w:val="28"/>
          <w:szCs w:val="28"/>
        </w:rPr>
        <w:t xml:space="preserve">The objectives of these geographically-confined tax incentives are usually to attract </w:t>
      </w:r>
      <w:r w:rsidR="5EDE59C2" w:rsidRPr="00B90A24">
        <w:rPr>
          <w:rFonts w:eastAsia="Times New Roman" w:cs="Times New Roman"/>
          <w:sz w:val="28"/>
          <w:szCs w:val="28"/>
        </w:rPr>
        <w:t>FDI</w:t>
      </w:r>
      <w:r w:rsidRPr="00B90A24">
        <w:rPr>
          <w:rFonts w:eastAsia="Times New Roman" w:cs="Times New Roman"/>
          <w:sz w:val="28"/>
          <w:szCs w:val="28"/>
        </w:rPr>
        <w:t>, develop disfavoured or rural regions or certain sectors, increase government revenues, encourage skills upgrading, technology transfer, innovation</w:t>
      </w:r>
      <w:r w:rsidR="002950DB" w:rsidRPr="00B90A24">
        <w:rPr>
          <w:rFonts w:eastAsia="Times New Roman" w:cs="Times New Roman"/>
          <w:sz w:val="28"/>
          <w:szCs w:val="28"/>
        </w:rPr>
        <w:t>,</w:t>
      </w:r>
      <w:r w:rsidRPr="00B90A24">
        <w:rPr>
          <w:rFonts w:eastAsia="Times New Roman" w:cs="Times New Roman"/>
          <w:sz w:val="28"/>
          <w:szCs w:val="28"/>
        </w:rPr>
        <w:t xml:space="preserve"> and improve the productivity or domestic enterprises</w:t>
      </w:r>
      <w:r w:rsidR="00215F1B" w:rsidRPr="00B90A24">
        <w:rPr>
          <w:rFonts w:eastAsia="Times New Roman" w:cs="Times New Roman"/>
          <w:sz w:val="28"/>
          <w:szCs w:val="28"/>
        </w:rPr>
        <w:t xml:space="preserve"> </w:t>
      </w:r>
      <w:r w:rsidR="00AF60AC" w:rsidRPr="00B90A24">
        <w:rPr>
          <w:rFonts w:cs="Times New Roman"/>
          <w:sz w:val="28"/>
          <w:szCs w:val="28"/>
        </w:rPr>
        <w:fldChar w:fldCharType="begin"/>
      </w:r>
      <w:r w:rsidR="00500851" w:rsidRPr="00B90A24">
        <w:rPr>
          <w:rFonts w:cs="Times New Roman"/>
          <w:sz w:val="28"/>
          <w:szCs w:val="28"/>
        </w:rPr>
        <w:instrText xml:space="preserve"> ADDIN ZOTERO_ITEM CSL_CITATION {"citationID":"wAU6NLYd","properties":{"formattedCitation":"(Douglas Zhihua Zeng, 2010)","plainCitation":"(Douglas Zhihua Zeng, 2010)","noteIndex":0},"citationItems":[{"id":3358,"uris":["http://zotero.org/groups/997303/items/PHA3PNJS"],"uri":["http://zotero.org/groups/997303/items/PHA3PNJS"],"itemData":{"id":3358,"type":"article","publisher":"World bank","title":"Building Engines for Growth and Competitiveness in China: Experience with Special Economic Zones and Industrial Clusters","URL":"https://openknowledge.worldbank.org/bitstream/handle/10986/2501/564470PUB0buil10Box349496B01PUBLIC1.pdf?sequence=1&amp;isAllowed=y","author":[{"family":"Douglas Zhihua Zeng","given":""}],"issued":{"date-parts":[["2010"]]}}}],"schema":"https://github.com/citation-style-language/schema/raw/master/csl-citation.json"} </w:instrText>
      </w:r>
      <w:r w:rsidR="00AF60AC" w:rsidRPr="00B90A24">
        <w:rPr>
          <w:rFonts w:cs="Times New Roman"/>
          <w:sz w:val="28"/>
          <w:szCs w:val="28"/>
        </w:rPr>
        <w:fldChar w:fldCharType="separate"/>
      </w:r>
      <w:r w:rsidR="00B133DE" w:rsidRPr="00B90A24">
        <w:rPr>
          <w:rFonts w:cs="Times New Roman"/>
          <w:sz w:val="28"/>
          <w:szCs w:val="28"/>
        </w:rPr>
        <w:t>(Douglas Zhihua Zeng, 2010)</w:t>
      </w:r>
      <w:r w:rsidR="00AF60AC" w:rsidRPr="00B90A24">
        <w:rPr>
          <w:rFonts w:cs="Times New Roman"/>
          <w:sz w:val="28"/>
          <w:szCs w:val="28"/>
        </w:rPr>
        <w:fldChar w:fldCharType="end"/>
      </w:r>
      <w:r w:rsidR="00215F1B" w:rsidRPr="00B90A24">
        <w:rPr>
          <w:rFonts w:cs="Times New Roman"/>
          <w:sz w:val="28"/>
          <w:szCs w:val="28"/>
        </w:rPr>
        <w:t>.</w:t>
      </w:r>
      <w:r w:rsidRPr="00B90A24">
        <w:rPr>
          <w:rFonts w:eastAsia="Times New Roman" w:cs="Times New Roman"/>
          <w:sz w:val="28"/>
          <w:szCs w:val="28"/>
        </w:rPr>
        <w:t xml:space="preserve"> However, </w:t>
      </w:r>
      <w:r w:rsidR="007D303E" w:rsidRPr="00B90A24">
        <w:rPr>
          <w:rFonts w:eastAsia="Times New Roman" w:cs="Times New Roman"/>
          <w:sz w:val="28"/>
          <w:szCs w:val="28"/>
        </w:rPr>
        <w:t xml:space="preserve">the available evidence </w:t>
      </w:r>
      <w:r w:rsidRPr="00B90A24">
        <w:rPr>
          <w:rFonts w:eastAsia="Times New Roman" w:cs="Times New Roman"/>
          <w:sz w:val="28"/>
          <w:szCs w:val="28"/>
        </w:rPr>
        <w:t xml:space="preserve">shows that tax incentives are often ineffective in attracting </w:t>
      </w:r>
      <w:r w:rsidR="007D303E" w:rsidRPr="00B90A24">
        <w:rPr>
          <w:rFonts w:eastAsia="Times New Roman" w:cs="Times New Roman"/>
          <w:sz w:val="28"/>
          <w:szCs w:val="28"/>
        </w:rPr>
        <w:t xml:space="preserve">new greenfield </w:t>
      </w:r>
      <w:r w:rsidR="1C13B6E9" w:rsidRPr="00B90A24">
        <w:rPr>
          <w:rFonts w:eastAsia="Times New Roman" w:cs="Times New Roman"/>
          <w:sz w:val="28"/>
          <w:szCs w:val="28"/>
        </w:rPr>
        <w:t>FDI</w:t>
      </w:r>
      <w:r w:rsidRPr="00B90A24">
        <w:rPr>
          <w:rFonts w:eastAsia="Times New Roman" w:cs="Times New Roman"/>
          <w:sz w:val="28"/>
          <w:szCs w:val="28"/>
        </w:rPr>
        <w:t>, especially in developing countries</w:t>
      </w:r>
      <w:r w:rsidR="000637A3" w:rsidRPr="00B90A24">
        <w:rPr>
          <w:rFonts w:eastAsia="Times New Roman" w:cs="Times New Roman"/>
          <w:sz w:val="28"/>
          <w:szCs w:val="28"/>
        </w:rPr>
        <w:t xml:space="preserve"> </w:t>
      </w:r>
      <w:r w:rsidR="000637A3" w:rsidRPr="00B90A24">
        <w:rPr>
          <w:rFonts w:eastAsia="Times New Roman" w:cs="Times New Roman"/>
          <w:sz w:val="28"/>
          <w:szCs w:val="28"/>
        </w:rPr>
        <w:fldChar w:fldCharType="begin"/>
      </w:r>
      <w:r w:rsidR="00500851" w:rsidRPr="00B90A24">
        <w:rPr>
          <w:rFonts w:eastAsia="Times New Roman" w:cs="Times New Roman"/>
          <w:sz w:val="28"/>
          <w:szCs w:val="28"/>
        </w:rPr>
        <w:instrText xml:space="preserve"> ADDIN ZOTERO_ITEM CSL_CITATION {"citationID":"kUKgOUHG","properties":{"formattedCitation":"(Klemm &amp; van Parys, 2009)","plainCitation":"(Klemm &amp; van Parys, 2009)","noteIndex":0},"citationItems":[{"id":5553,"uris":["http://zotero.org/groups/997303/items/UCEWMPDM"],"uri":["http://zotero.org/groups/997303/items/UCEWMPDM"],"itemData":{"id":5553,"type":"report","abstract":"This paper considers two empirical questions about tax incentives: (1) are incentives used as tools of tax competition and (2) how effective are incentives in attracting investment? To answer these, we prepared a new dataset of tax incentives in over 40 Latin American, Caribbean and African countries for the period 1985–2004. Using spatial econometrics techniques for panel data to answer the first question, we find evidence for strategic interaction in tax holidays, in addition to the well-known competition over the corporate income tax rate. We find no evidence, however, for competition over investment allowances and tax credits. Using dynamic panel data econometrics to answer the second question, we find evidence that lower corporate income tax rates and longer tax holidays are effective in attracting FDI, but not in boosting gross private fixed capital formation or growth.","collection-title":"Working Paper","language":"en","number":"09/136","publisher":"International Monetary Fund","source":"www.imf.org","title":"Empirical Evidence on the Effects of Tax Incentives","URL":"https://www.imf.org/en/Publications/WP/Issues/2016/12/31/Empirical-Evidenceon-the-Effects-of-Tax-Incentives-23053","author":[{"family":"Klemm","given":"Alexander D."},{"family":"Parys","given":"Stefan","non-dropping-particle":"van"}],"accessed":{"date-parts":[["2020",3,25]]},"issued":{"date-parts":[["2009",7,1]]}}}],"schema":"https://github.com/citation-style-language/schema/raw/master/csl-citation.json"} </w:instrText>
      </w:r>
      <w:r w:rsidR="000637A3" w:rsidRPr="00B90A24">
        <w:rPr>
          <w:rFonts w:eastAsia="Times New Roman" w:cs="Times New Roman"/>
          <w:sz w:val="28"/>
          <w:szCs w:val="28"/>
        </w:rPr>
        <w:fldChar w:fldCharType="separate"/>
      </w:r>
      <w:r w:rsidR="00B133DE" w:rsidRPr="00B90A24">
        <w:rPr>
          <w:rFonts w:cs="Times New Roman"/>
          <w:sz w:val="28"/>
          <w:szCs w:val="28"/>
        </w:rPr>
        <w:t>(Klemm &amp; van Parys, 2009)</w:t>
      </w:r>
      <w:r w:rsidR="000637A3" w:rsidRPr="00B90A24">
        <w:rPr>
          <w:rFonts w:eastAsia="Times New Roman" w:cs="Times New Roman"/>
          <w:sz w:val="28"/>
          <w:szCs w:val="28"/>
        </w:rPr>
        <w:fldChar w:fldCharType="end"/>
      </w:r>
      <w:r w:rsidRPr="00B90A24">
        <w:rPr>
          <w:rFonts w:eastAsia="Times New Roman" w:cs="Times New Roman"/>
          <w:sz w:val="28"/>
          <w:szCs w:val="28"/>
        </w:rPr>
        <w:t>.</w:t>
      </w:r>
      <w:r w:rsidR="000637A3" w:rsidRPr="00B90A24">
        <w:rPr>
          <w:rFonts w:eastAsia="Times New Roman" w:cs="Times New Roman"/>
          <w:sz w:val="28"/>
          <w:szCs w:val="28"/>
        </w:rPr>
        <w:t xml:space="preserve"> </w:t>
      </w:r>
      <w:r w:rsidRPr="00B90A24">
        <w:rPr>
          <w:rFonts w:eastAsia="Times New Roman" w:cs="Times New Roman"/>
          <w:sz w:val="28"/>
          <w:szCs w:val="28"/>
        </w:rPr>
        <w:t>Investment climate surveys for low-income countries show that tax incentives are not as decisive for investors</w:t>
      </w:r>
      <w:r w:rsidR="002950DB" w:rsidRPr="00B90A24">
        <w:rPr>
          <w:rFonts w:eastAsia="Times New Roman" w:cs="Times New Roman"/>
          <w:sz w:val="28"/>
          <w:szCs w:val="28"/>
        </w:rPr>
        <w:t xml:space="preserve"> in reaching a decision to invest. Rather</w:t>
      </w:r>
      <w:r w:rsidRPr="00B90A24">
        <w:rPr>
          <w:rFonts w:eastAsia="Times New Roman" w:cs="Times New Roman"/>
          <w:sz w:val="28"/>
          <w:szCs w:val="28"/>
        </w:rPr>
        <w:t xml:space="preserve"> good infrastructure, an educated labour pool, the rule of law, </w:t>
      </w:r>
      <w:r w:rsidR="002950DB" w:rsidRPr="00B90A24">
        <w:rPr>
          <w:rFonts w:eastAsia="Times New Roman" w:cs="Times New Roman"/>
          <w:sz w:val="28"/>
          <w:szCs w:val="28"/>
        </w:rPr>
        <w:t xml:space="preserve">and </w:t>
      </w:r>
      <w:r w:rsidRPr="00B90A24">
        <w:rPr>
          <w:rFonts w:eastAsia="Times New Roman" w:cs="Times New Roman"/>
          <w:sz w:val="28"/>
          <w:szCs w:val="28"/>
        </w:rPr>
        <w:t xml:space="preserve">macroeconomic stability </w:t>
      </w:r>
      <w:r w:rsidR="002950DB" w:rsidRPr="00B90A24">
        <w:rPr>
          <w:rFonts w:eastAsia="Times New Roman" w:cs="Times New Roman"/>
          <w:sz w:val="28"/>
          <w:szCs w:val="28"/>
        </w:rPr>
        <w:t>are among conditions that are more important to investors</w:t>
      </w:r>
      <w:r w:rsidRPr="00B90A24">
        <w:rPr>
          <w:rFonts w:eastAsia="Times New Roman" w:cs="Times New Roman"/>
          <w:sz w:val="28"/>
          <w:szCs w:val="28"/>
        </w:rPr>
        <w:t>. Evidence also suggests that providing geographically-confined tax incentives impose</w:t>
      </w:r>
      <w:r w:rsidR="002950DB" w:rsidRPr="00B90A24">
        <w:rPr>
          <w:rFonts w:eastAsia="Times New Roman" w:cs="Times New Roman"/>
          <w:sz w:val="28"/>
          <w:szCs w:val="28"/>
        </w:rPr>
        <w:t>s</w:t>
      </w:r>
      <w:r w:rsidRPr="00B90A24">
        <w:rPr>
          <w:rFonts w:eastAsia="Times New Roman" w:cs="Times New Roman"/>
          <w:sz w:val="28"/>
          <w:szCs w:val="28"/>
        </w:rPr>
        <w:t xml:space="preserve"> pressure on policymakers to provide the same benefits to other geographic areas, increasing revenue loss and social distortions</w:t>
      </w:r>
      <w:r w:rsidR="000637A3" w:rsidRPr="00B90A24">
        <w:rPr>
          <w:rFonts w:eastAsia="Times New Roman" w:cs="Times New Roman"/>
          <w:sz w:val="28"/>
          <w:szCs w:val="28"/>
        </w:rPr>
        <w:t xml:space="preserve"> </w:t>
      </w:r>
      <w:r w:rsidR="000637A3" w:rsidRPr="00B90A24">
        <w:rPr>
          <w:rFonts w:eastAsia="Times New Roman" w:cs="Times New Roman"/>
          <w:sz w:val="28"/>
          <w:szCs w:val="28"/>
        </w:rPr>
        <w:fldChar w:fldCharType="begin"/>
      </w:r>
      <w:r w:rsidR="00A06D6C" w:rsidRPr="00B90A24">
        <w:rPr>
          <w:rFonts w:eastAsia="Times New Roman" w:cs="Times New Roman"/>
          <w:sz w:val="28"/>
          <w:szCs w:val="28"/>
        </w:rPr>
        <w:instrText xml:space="preserve"> ADDIN ZOTERO_ITEM CSL_CITATION {"citationID":"VhP1iFzw","properties":{"formattedCitation":"(Mansour &amp; Keen, 2009)","plainCitation":"(Mansour &amp; Keen, 2009)","noteIndex":0},"citationItems":[{"id":3356,"uris":["http://zotero.org/groups/997303/items/EXKRVHJL"],"uri":["http://zotero.org/groups/997303/items/EXKRVHJL"],"itemData":{"id":3356,"type":"report","collection-title":"Working Paper","language":"en","number":"09/157","publisher":"International Monetary Fund","title":"Revenue Mobilization in Sub-Saharan Africa : Challenges from Globalization","title-short":"Revenue Mobilization in Sub-Saharan Africa","URL":"https://www.imf.org/en/Publications/WP/Issues/2016/12/31/Revenue-Mobilization-in-Sub-Saharan-Africa-Challenges-from-Globalization-23124","author":[{"family":"Mansour","given":"Mario"},{"family":"Keen","given":"Michael"}],"accessed":{"date-parts":[["2018",12,16]]},"issued":{"date-parts":[["2009",7,1]]}}}],"schema":"https://github.com/citation-style-language/schema/raw/master/csl-citation.json"} </w:instrText>
      </w:r>
      <w:r w:rsidR="000637A3" w:rsidRPr="00B90A24">
        <w:rPr>
          <w:rFonts w:eastAsia="Times New Roman" w:cs="Times New Roman"/>
          <w:sz w:val="28"/>
          <w:szCs w:val="28"/>
        </w:rPr>
        <w:fldChar w:fldCharType="separate"/>
      </w:r>
      <w:r w:rsidR="00B133DE" w:rsidRPr="00B90A24">
        <w:rPr>
          <w:rFonts w:cs="Times New Roman"/>
          <w:sz w:val="28"/>
          <w:szCs w:val="28"/>
        </w:rPr>
        <w:t>(Mansour &amp; Keen, 2009)</w:t>
      </w:r>
      <w:r w:rsidR="000637A3" w:rsidRPr="00B90A24">
        <w:rPr>
          <w:rFonts w:eastAsia="Times New Roman" w:cs="Times New Roman"/>
          <w:sz w:val="28"/>
          <w:szCs w:val="28"/>
        </w:rPr>
        <w:fldChar w:fldCharType="end"/>
      </w:r>
      <w:r w:rsidR="000637A3" w:rsidRPr="00B90A24">
        <w:rPr>
          <w:rFonts w:eastAsia="Times New Roman" w:cs="Times New Roman"/>
          <w:sz w:val="28"/>
          <w:szCs w:val="28"/>
        </w:rPr>
        <w:t>.</w:t>
      </w:r>
      <w:r w:rsidR="004871F9" w:rsidRPr="00B90A24">
        <w:rPr>
          <w:rFonts w:eastAsia="Times New Roman" w:cs="Times New Roman"/>
          <w:sz w:val="28"/>
          <w:szCs w:val="28"/>
        </w:rPr>
        <w:t xml:space="preserve"> Further, free trade zones may be vulnerable to illicit activit</w:t>
      </w:r>
      <w:r w:rsidR="009914FF" w:rsidRPr="00B90A24">
        <w:rPr>
          <w:rFonts w:eastAsia="Times New Roman" w:cs="Times New Roman"/>
          <w:sz w:val="28"/>
          <w:szCs w:val="28"/>
        </w:rPr>
        <w:t>y and be abused through transfer pricing strategies</w:t>
      </w:r>
      <w:r w:rsidR="004871F9" w:rsidRPr="00B90A24">
        <w:rPr>
          <w:rFonts w:eastAsia="Times New Roman" w:cs="Times New Roman"/>
          <w:sz w:val="28"/>
          <w:szCs w:val="28"/>
        </w:rPr>
        <w:t xml:space="preserve"> given typically weak enforcement of financial regulations, lack of transparency and inadequate customs control </w:t>
      </w:r>
      <w:r w:rsidR="004871F9" w:rsidRPr="00B90A24">
        <w:rPr>
          <w:rFonts w:eastAsia="Times New Roman" w:cs="Times New Roman"/>
          <w:sz w:val="28"/>
          <w:szCs w:val="28"/>
        </w:rPr>
        <w:fldChar w:fldCharType="begin"/>
      </w:r>
      <w:r w:rsidR="00A06D6C" w:rsidRPr="00B90A24">
        <w:rPr>
          <w:rFonts w:eastAsia="Times New Roman" w:cs="Times New Roman"/>
          <w:sz w:val="28"/>
          <w:szCs w:val="28"/>
        </w:rPr>
        <w:instrText xml:space="preserve"> ADDIN ZOTERO_ITEM CSL_CITATION {"citationID":"a46fpcvmr1","properties":{"formattedCitation":"\\uldash{(FATF &amp; Egmont Group, 2013; Financial Action Task Force, 2010)}","plainCitation":"(FATF &amp; Egmont Group, 2013; Financial Action Task Force, 2010)","dontUpdate":true,"noteIndex":0},"citationItems":[{"id":3684,"uris":["http://zotero.org/groups/997303/items/XQBJV3Y5"],"uri":["http://zotero.org/groups/997303/items/XQBJV3Y5"],"itemData":{"id":3684,"type":"report","title":"Money laundering and terrorist financing through trade in diamonds","URL":"http://www.fatf-gafi.org/media/fatf/documents/reports/ML-TF-through-trade-in-diamonds.pdf","author":[{"literal":"FATF"},{"literal":"Egmont Group"}],"accessed":{"date-parts":[["2019",3,8]]},"issued":{"date-parts":[["2013",10]]}}},{"id":5302,"uris":["http://zotero.org/groups/997303/items/NPWG547C"],"uri":["http://zotero.org/groups/997303/items/NPWG547C"],"itemData":{"id":5302,"type":"report","title":"Money laundering vulnerabilities of free trade zones","URL":"http://www.fatf-gafi.org/media/fatf/documents/reports/ML%20vulnerabilities%20of%20Free%20Trade%20Zones.pdf","author":[{"literal":"Financial Action Task Force"}],"accessed":{"date-parts":[["2020",1,28]]},"issued":{"date-parts":[["2010",3]]}}}],"schema":"https://github.com/citation-style-language/schema/raw/master/csl-citation.json"} </w:instrText>
      </w:r>
      <w:r w:rsidR="004871F9" w:rsidRPr="00B90A24">
        <w:rPr>
          <w:rFonts w:eastAsia="Times New Roman" w:cs="Times New Roman"/>
          <w:sz w:val="28"/>
          <w:szCs w:val="28"/>
        </w:rPr>
        <w:fldChar w:fldCharType="separate"/>
      </w:r>
      <w:r w:rsidR="009914FF" w:rsidRPr="00B90A24">
        <w:rPr>
          <w:rFonts w:cs="Times New Roman"/>
          <w:sz w:val="28"/>
          <w:szCs w:val="28"/>
        </w:rPr>
        <w:t>(FATF &amp; Egmont Group, 2013; FATF, 2010)</w:t>
      </w:r>
      <w:r w:rsidR="004871F9" w:rsidRPr="00B90A24">
        <w:rPr>
          <w:rFonts w:eastAsia="Times New Roman" w:cs="Times New Roman"/>
          <w:sz w:val="28"/>
          <w:szCs w:val="28"/>
        </w:rPr>
        <w:fldChar w:fldCharType="end"/>
      </w:r>
      <w:r w:rsidR="004871F9" w:rsidRPr="00B90A24">
        <w:rPr>
          <w:rFonts w:eastAsia="Times New Roman" w:cs="Times New Roman"/>
          <w:sz w:val="28"/>
          <w:szCs w:val="28"/>
        </w:rPr>
        <w:t xml:space="preserve">. </w:t>
      </w:r>
    </w:p>
    <w:p w14:paraId="381555BF" w14:textId="77777777" w:rsidR="00783A4C" w:rsidRPr="00B90A24" w:rsidRDefault="00783A4C" w:rsidP="00B90A24">
      <w:pPr>
        <w:spacing w:after="0" w:line="240" w:lineRule="auto"/>
        <w:ind w:left="567" w:right="890"/>
        <w:jc w:val="both"/>
        <w:rPr>
          <w:rFonts w:eastAsia="Times New Roman" w:cs="Times New Roman"/>
          <w:sz w:val="28"/>
          <w:szCs w:val="28"/>
        </w:rPr>
      </w:pPr>
    </w:p>
    <w:p w14:paraId="34B82533" w14:textId="2119C506" w:rsidR="00FC1278" w:rsidRPr="00B90A24" w:rsidRDefault="00FC1278" w:rsidP="00B90A24">
      <w:pPr>
        <w:spacing w:after="0" w:line="240" w:lineRule="auto"/>
        <w:ind w:left="567" w:right="890"/>
        <w:jc w:val="both"/>
        <w:rPr>
          <w:rFonts w:eastAsia="Times New Roman" w:cs="Times New Roman"/>
          <w:sz w:val="28"/>
          <w:szCs w:val="28"/>
        </w:rPr>
      </w:pPr>
      <w:r w:rsidRPr="00B90A24">
        <w:rPr>
          <w:rFonts w:eastAsia="Times New Roman" w:cs="Times New Roman"/>
          <w:sz w:val="28"/>
          <w:szCs w:val="28"/>
        </w:rPr>
        <w:t>Time-bound tax incentives have the tendency to attract footloose investments, mostly profitable during the tax holiday period. Indeed, they can induce rent-seeking behaviour including tax avoidance with round-tripping when existing companies use sophisticated techniques to reinvest their capital in creating a new company just to benefit from the tax holiday</w:t>
      </w:r>
      <w:r w:rsidR="00215F1B" w:rsidRPr="00B90A24">
        <w:rPr>
          <w:rFonts w:eastAsia="Times New Roman" w:cs="Times New Roman"/>
          <w:sz w:val="28"/>
          <w:szCs w:val="28"/>
        </w:rPr>
        <w:t xml:space="preserve"> </w:t>
      </w:r>
      <w:r w:rsidR="00AF60AC" w:rsidRPr="00B90A24">
        <w:rPr>
          <w:rFonts w:cs="Times New Roman"/>
          <w:sz w:val="28"/>
          <w:szCs w:val="28"/>
        </w:rPr>
        <w:fldChar w:fldCharType="begin"/>
      </w:r>
      <w:r w:rsidR="00500851" w:rsidRPr="00B90A24">
        <w:rPr>
          <w:rFonts w:cs="Times New Roman"/>
          <w:sz w:val="28"/>
          <w:szCs w:val="28"/>
        </w:rPr>
        <w:instrText xml:space="preserve"> ADDIN ZOTERO_ITEM CSL_CITATION {"citationID":"BrWiCg3Q","properties":{"formattedCitation":"(OECD, 2015c)","plainCitation":"(OECD, 2015c)","noteIndex":0},"citationItems":[{"id":2989,"uris":["http://zotero.org/groups/997303/items/38C3US4N"],"uri":["http://zotero.org/groups/997303/items/38C3US4N"],"itemData":{"id":2989,"type":"report","title":"Implementing the latest international standards for compiling foreign direct investment statistics. FDI Statistics by the Ultimate Investing Country","URL":"https://www.oecd.org/daf/inv/FDI-statistics-by-ultimate-investing-country.pdf","author":[{"family":"OECD","given":""}],"accessed":{"date-parts":[["2018",6,6]]},"issued":{"date-parts":[["2015"]]}}}],"schema":"https://github.com/citation-style-language/schema/raw/master/csl-citation.json"} </w:instrText>
      </w:r>
      <w:r w:rsidR="00AF60AC" w:rsidRPr="00B90A24">
        <w:rPr>
          <w:rFonts w:cs="Times New Roman"/>
          <w:sz w:val="28"/>
          <w:szCs w:val="28"/>
        </w:rPr>
        <w:fldChar w:fldCharType="separate"/>
      </w:r>
      <w:r w:rsidR="00B133DE" w:rsidRPr="00B90A24">
        <w:rPr>
          <w:rFonts w:cs="Times New Roman"/>
          <w:sz w:val="28"/>
          <w:szCs w:val="28"/>
        </w:rPr>
        <w:t>(OECD, 2015c)</w:t>
      </w:r>
      <w:r w:rsidR="00AF60AC" w:rsidRPr="00B90A24">
        <w:rPr>
          <w:rFonts w:cs="Times New Roman"/>
          <w:sz w:val="28"/>
          <w:szCs w:val="28"/>
        </w:rPr>
        <w:fldChar w:fldCharType="end"/>
      </w:r>
      <w:r w:rsidR="00215F1B" w:rsidRPr="00B90A24">
        <w:rPr>
          <w:rFonts w:cs="Times New Roman"/>
          <w:sz w:val="28"/>
          <w:szCs w:val="28"/>
        </w:rPr>
        <w:t>.</w:t>
      </w:r>
      <w:r w:rsidRPr="00B90A24">
        <w:rPr>
          <w:rFonts w:eastAsia="Times New Roman" w:cs="Times New Roman"/>
          <w:sz w:val="28"/>
          <w:szCs w:val="28"/>
        </w:rPr>
        <w:t xml:space="preserve"> For example, if tax incentives are only granted to new companies, foreign entities </w:t>
      </w:r>
      <w:r w:rsidR="002950DB" w:rsidRPr="00B90A24">
        <w:rPr>
          <w:rFonts w:eastAsia="Times New Roman" w:cs="Times New Roman"/>
          <w:sz w:val="28"/>
          <w:szCs w:val="28"/>
        </w:rPr>
        <w:t xml:space="preserve">may </w:t>
      </w:r>
      <w:r w:rsidRPr="00B90A24">
        <w:rPr>
          <w:rFonts w:eastAsia="Times New Roman" w:cs="Times New Roman"/>
          <w:sz w:val="28"/>
          <w:szCs w:val="28"/>
        </w:rPr>
        <w:t>attempt to register new companies for already established operations in order to take advantage of those incentives. Ghana offers several time-bound tax holidays that reduce the statutory corporate income tax rate of 25 per cent significantly</w:t>
      </w:r>
      <w:r w:rsidR="001D1CB8" w:rsidRPr="00B90A24">
        <w:rPr>
          <w:rFonts w:eastAsia="Times New Roman" w:cs="Times New Roman"/>
          <w:sz w:val="28"/>
          <w:szCs w:val="28"/>
        </w:rPr>
        <w:t>;</w:t>
      </w:r>
      <w:r w:rsidRPr="00B90A24">
        <w:rPr>
          <w:rFonts w:eastAsia="Times New Roman" w:cs="Times New Roman"/>
          <w:sz w:val="28"/>
          <w:szCs w:val="28"/>
        </w:rPr>
        <w:t xml:space="preserve"> tree crops, cattle farming, rural banks and venture capital financing companies are</w:t>
      </w:r>
      <w:r w:rsidR="001D1CB8" w:rsidRPr="00B90A24">
        <w:rPr>
          <w:rFonts w:eastAsia="Times New Roman" w:cs="Times New Roman"/>
          <w:sz w:val="28"/>
          <w:szCs w:val="28"/>
        </w:rPr>
        <w:t xml:space="preserve"> all</w:t>
      </w:r>
      <w:r w:rsidRPr="00B90A24">
        <w:rPr>
          <w:rFonts w:eastAsia="Times New Roman" w:cs="Times New Roman"/>
          <w:sz w:val="28"/>
          <w:szCs w:val="28"/>
        </w:rPr>
        <w:t xml:space="preserve"> taxed at one per cent for the first 10 years, while cocoa by-production processing, </w:t>
      </w:r>
      <w:r w:rsidRPr="00B90A24">
        <w:rPr>
          <w:rFonts w:eastAsia="Times New Roman" w:cs="Times New Roman"/>
          <w:sz w:val="28"/>
          <w:szCs w:val="28"/>
        </w:rPr>
        <w:lastRenderedPageBreak/>
        <w:t>construction of residential housing, agro-processing, livestock (other than cattle) farming, fisheries and cash crops are taxed at one per cent for the first five years.</w:t>
      </w:r>
    </w:p>
    <w:p w14:paraId="2871E0E8" w14:textId="77777777" w:rsidR="00783A4C" w:rsidRPr="00B90A24" w:rsidRDefault="00783A4C" w:rsidP="00B90A24">
      <w:pPr>
        <w:spacing w:after="0" w:line="240" w:lineRule="auto"/>
        <w:ind w:left="567" w:right="890"/>
        <w:jc w:val="both"/>
        <w:rPr>
          <w:rFonts w:eastAsia="Times New Roman" w:cs="Times New Roman"/>
          <w:sz w:val="28"/>
          <w:szCs w:val="28"/>
        </w:rPr>
      </w:pPr>
    </w:p>
    <w:p w14:paraId="5E805267" w14:textId="3B8B5EA3" w:rsidR="006260E3" w:rsidRPr="00B90A24" w:rsidRDefault="00D44DF6" w:rsidP="00B90A24">
      <w:pPr>
        <w:spacing w:after="0" w:line="240" w:lineRule="auto"/>
        <w:ind w:left="567" w:right="890"/>
        <w:jc w:val="both"/>
        <w:rPr>
          <w:rFonts w:cs="Times New Roman"/>
          <w:color w:val="000000" w:themeColor="text1"/>
          <w:sz w:val="28"/>
          <w:szCs w:val="28"/>
        </w:rPr>
      </w:pPr>
      <w:r w:rsidRPr="00B90A24">
        <w:rPr>
          <w:rFonts w:eastAsia="Times New Roman" w:cs="Times New Roman"/>
          <w:sz w:val="28"/>
          <w:szCs w:val="28"/>
        </w:rPr>
        <w:t>Furthermore, there are</w:t>
      </w:r>
      <w:r w:rsidR="00215F1B" w:rsidRPr="00B90A24">
        <w:rPr>
          <w:rFonts w:eastAsia="Times New Roman" w:cs="Times New Roman"/>
          <w:sz w:val="28"/>
          <w:szCs w:val="28"/>
        </w:rPr>
        <w:t xml:space="preserve"> fundamental flaw</w:t>
      </w:r>
      <w:r w:rsidRPr="00B90A24">
        <w:rPr>
          <w:rFonts w:eastAsia="Times New Roman" w:cs="Times New Roman"/>
          <w:sz w:val="28"/>
          <w:szCs w:val="28"/>
        </w:rPr>
        <w:t>s</w:t>
      </w:r>
      <w:r w:rsidR="00215F1B" w:rsidRPr="00B90A24">
        <w:rPr>
          <w:rFonts w:eastAsia="Times New Roman" w:cs="Times New Roman"/>
          <w:sz w:val="28"/>
          <w:szCs w:val="28"/>
        </w:rPr>
        <w:t xml:space="preserve"> </w:t>
      </w:r>
      <w:r w:rsidR="00003FB4" w:rsidRPr="00B90A24">
        <w:rPr>
          <w:rFonts w:eastAsia="Times New Roman" w:cs="Times New Roman"/>
          <w:sz w:val="28"/>
          <w:szCs w:val="28"/>
        </w:rPr>
        <w:t xml:space="preserve">in </w:t>
      </w:r>
      <w:r w:rsidR="00191139" w:rsidRPr="00B90A24">
        <w:rPr>
          <w:rFonts w:eastAsia="Times New Roman" w:cs="Times New Roman"/>
          <w:sz w:val="28"/>
          <w:szCs w:val="28"/>
        </w:rPr>
        <w:t xml:space="preserve">how </w:t>
      </w:r>
      <w:r w:rsidR="7C2038B2" w:rsidRPr="00B90A24">
        <w:rPr>
          <w:rFonts w:eastAsia="Times New Roman" w:cs="Times New Roman"/>
          <w:sz w:val="28"/>
          <w:szCs w:val="28"/>
        </w:rPr>
        <w:t>FDI</w:t>
      </w:r>
      <w:r w:rsidR="00191139" w:rsidRPr="00B90A24">
        <w:rPr>
          <w:rFonts w:eastAsia="Times New Roman" w:cs="Times New Roman"/>
          <w:sz w:val="28"/>
          <w:szCs w:val="28"/>
        </w:rPr>
        <w:t xml:space="preserve"> data</w:t>
      </w:r>
      <w:r w:rsidR="00215F1B" w:rsidRPr="00B90A24">
        <w:rPr>
          <w:rFonts w:eastAsia="Times New Roman" w:cs="Times New Roman"/>
          <w:sz w:val="28"/>
          <w:szCs w:val="28"/>
        </w:rPr>
        <w:t xml:space="preserve"> continues to be</w:t>
      </w:r>
      <w:r w:rsidRPr="00B90A24">
        <w:rPr>
          <w:rFonts w:eastAsia="Times New Roman" w:cs="Times New Roman"/>
          <w:sz w:val="28"/>
          <w:szCs w:val="28"/>
        </w:rPr>
        <w:t xml:space="preserve"> collected</w:t>
      </w:r>
      <w:r w:rsidR="00420356" w:rsidRPr="00B90A24">
        <w:rPr>
          <w:rFonts w:eastAsia="Times New Roman" w:cs="Times New Roman"/>
          <w:sz w:val="28"/>
          <w:szCs w:val="28"/>
        </w:rPr>
        <w:t xml:space="preserve">  </w:t>
      </w:r>
      <w:r w:rsidR="00420356" w:rsidRPr="00B90A24">
        <w:rPr>
          <w:rFonts w:eastAsia="Times New Roman" w:cs="Times New Roman"/>
          <w:sz w:val="28"/>
          <w:szCs w:val="28"/>
        </w:rPr>
        <w:fldChar w:fldCharType="begin"/>
      </w:r>
      <w:r w:rsidR="00500851" w:rsidRPr="00B90A24">
        <w:rPr>
          <w:rFonts w:eastAsia="Times New Roman" w:cs="Times New Roman"/>
          <w:sz w:val="28"/>
          <w:szCs w:val="28"/>
        </w:rPr>
        <w:instrText xml:space="preserve"> ADDIN ZOTERO_ITEM CSL_CITATION {"citationID":"YJjlN5As","properties":{"formattedCitation":"(cf. Meinzer et al., 2019)","plainCitation":"(cf. Meinzer et al., 2019)","noteIndex":0},"citationItems":[{"id":3689,"uris":["http://zotero.org/groups/997303/items/FMVC7FGM"],"uri":["http://zotero.org/groups/997303/items/FMVC7FGM"],"itemData":{"id":3689,"type":"report","abstract":"Recent research suggests that profit based tax incentives are costly, tend to fail in attracting additional desirable foreign direct investment, and are problematic especially when they are temporary (eg tax holidays), geographically confined (eg economic zones) and when they provide full tax exemption/nil taxation (vs. tax reduction concession). Yet, there is no publicly available dataset that would allow systematic panel analyses across jurisdictions of these phenomena. This research gap limits the validity and reliability of existing research findings, and constrains future research into the relative effects and costs of tax incentives. Therefore, we analyse 15 countries, testing data availability, comparability and potential criteria for establishing an assessment matrix for a public cross-country dataset of profit based tax incentives. Preliminary findings suggest that when compared, high income countries tend to offer more cost based incentives, while middle and low income countries most often rely on special economic zones and tax holidays.","language":"en","page":"43","source":"Zotero","title":"Comparing tax incentives across jurisdictions: a pilot study","URL":"https://www.taxjustice.net/wp-content/uploads/2018/12/Comparing-tax-incentives-across-jurisdictions_Tax-Justice-Network_2019.pdf","author":[{"family":"Meinzer","given":"Markus"},{"family":"Ndajiwo","given":"Mustapha"},{"family":"Etter-Phoya","given":"Rachel"},{"family":"Diakité","given":"Maïmouna"}],"accessed":{"date-parts":[["2019",7,3]]},"issued":{"date-parts":[["2019"]]}},"prefix":"cf. "}],"schema":"https://github.com/citation-style-language/schema/raw/master/csl-citation.json"} </w:instrText>
      </w:r>
      <w:r w:rsidR="00420356" w:rsidRPr="00B90A24">
        <w:rPr>
          <w:rFonts w:eastAsia="Times New Roman" w:cs="Times New Roman"/>
          <w:sz w:val="28"/>
          <w:szCs w:val="28"/>
        </w:rPr>
        <w:fldChar w:fldCharType="separate"/>
      </w:r>
      <w:r w:rsidR="00B133DE" w:rsidRPr="00B90A24">
        <w:rPr>
          <w:rFonts w:cs="Times New Roman"/>
          <w:sz w:val="28"/>
          <w:szCs w:val="28"/>
        </w:rPr>
        <w:t>(cf. Meinzer et al., 2019)</w:t>
      </w:r>
      <w:r w:rsidR="00420356" w:rsidRPr="00B90A24">
        <w:rPr>
          <w:rFonts w:eastAsia="Times New Roman" w:cs="Times New Roman"/>
          <w:sz w:val="28"/>
          <w:szCs w:val="28"/>
        </w:rPr>
        <w:fldChar w:fldCharType="end"/>
      </w:r>
      <w:r w:rsidRPr="00B90A24">
        <w:rPr>
          <w:rFonts w:eastAsia="Times New Roman" w:cs="Times New Roman"/>
          <w:sz w:val="28"/>
          <w:szCs w:val="28"/>
        </w:rPr>
        <w:t>: there is no differentiation between greenfield investment and mergers and acquisitions data</w:t>
      </w:r>
      <w:r w:rsidR="00092AD5" w:rsidRPr="00B90A24">
        <w:rPr>
          <w:rFonts w:eastAsia="Times New Roman" w:cs="Times New Roman"/>
          <w:sz w:val="28"/>
          <w:szCs w:val="28"/>
        </w:rPr>
        <w:t xml:space="preserve"> </w:t>
      </w:r>
      <w:r w:rsidR="00092AD5" w:rsidRPr="00B90A24">
        <w:rPr>
          <w:rFonts w:eastAsia="Times New Roman" w:cs="Times New Roman"/>
          <w:sz w:val="28"/>
          <w:szCs w:val="28"/>
        </w:rPr>
        <w:fldChar w:fldCharType="begin"/>
      </w:r>
      <w:r w:rsidR="00500851" w:rsidRPr="00B90A24">
        <w:rPr>
          <w:rFonts w:eastAsia="Times New Roman" w:cs="Times New Roman"/>
          <w:sz w:val="28"/>
          <w:szCs w:val="28"/>
        </w:rPr>
        <w:instrText xml:space="preserve"> ADDIN ZOTERO_ITEM CSL_CITATION {"citationID":"EqAplRp3","properties":{"formattedCitation":"(International Monetary Fund, 2014, pp. 16\\uc0\\u8211{}17)","plainCitation":"(International Monetary Fund, 2014, pp. 16–17)","noteIndex":0},"citationItems":[{"id":4136,"uris":["http://zotero.org/groups/997303/items/L8AL77ZG"],"uri":["http://zotero.org/groups/997303/items/L8AL77ZG"],"itemData":{"id":4136,"type":"report","genre":"IMF Policy Briefs","title":"Spillovers in international corporate taxation","URL":"https://www.imf.org/external/np/pp/eng/2014/050914.pdf","author":[{"family":"International Monetary Fund","given":""}],"accessed":{"date-parts":[["2019",5,23]]},"issued":{"date-parts":[["2014",5,9]]}},"locator":"16-17"}],"schema":"https://github.com/citation-style-language/schema/raw/master/csl-citation.json"} </w:instrText>
      </w:r>
      <w:r w:rsidR="00092AD5" w:rsidRPr="00B90A24">
        <w:rPr>
          <w:rFonts w:eastAsia="Times New Roman" w:cs="Times New Roman"/>
          <w:sz w:val="28"/>
          <w:szCs w:val="28"/>
        </w:rPr>
        <w:fldChar w:fldCharType="separate"/>
      </w:r>
      <w:r w:rsidR="00B133DE" w:rsidRPr="00B90A24">
        <w:rPr>
          <w:rFonts w:cs="Times New Roman"/>
          <w:sz w:val="28"/>
          <w:szCs w:val="28"/>
        </w:rPr>
        <w:t>(International Monetary Fund, 2014, pp. 16–17)</w:t>
      </w:r>
      <w:r w:rsidR="00092AD5" w:rsidRPr="00B90A24">
        <w:rPr>
          <w:rFonts w:eastAsia="Times New Roman" w:cs="Times New Roman"/>
          <w:sz w:val="28"/>
          <w:szCs w:val="28"/>
        </w:rPr>
        <w:fldChar w:fldCharType="end"/>
      </w:r>
      <w:r w:rsidRPr="00B90A24">
        <w:rPr>
          <w:rFonts w:eastAsia="Times New Roman" w:cs="Times New Roman"/>
          <w:sz w:val="28"/>
          <w:szCs w:val="28"/>
        </w:rPr>
        <w:t>, data fails to account for so-called roundtripping capital</w:t>
      </w:r>
      <w:r w:rsidR="00420356" w:rsidRPr="00B90A24">
        <w:rPr>
          <w:rFonts w:eastAsia="Times New Roman" w:cs="Times New Roman"/>
          <w:sz w:val="28"/>
          <w:szCs w:val="28"/>
        </w:rPr>
        <w:t xml:space="preserve"> </w:t>
      </w:r>
      <w:r w:rsidR="00420356" w:rsidRPr="00B90A24">
        <w:rPr>
          <w:rFonts w:eastAsia="Times New Roman" w:cs="Times New Roman"/>
          <w:sz w:val="28"/>
          <w:szCs w:val="28"/>
        </w:rPr>
        <w:fldChar w:fldCharType="begin"/>
      </w:r>
      <w:r w:rsidR="00500851" w:rsidRPr="00B90A24">
        <w:rPr>
          <w:rFonts w:eastAsia="Times New Roman" w:cs="Times New Roman"/>
          <w:sz w:val="28"/>
          <w:szCs w:val="28"/>
        </w:rPr>
        <w:instrText xml:space="preserve"> ADDIN ZOTERO_ITEM CSL_CITATION {"citationID":"UcIZ9r9A","properties":{"formattedCitation":"(Haberly &amp; W\\uc0\\u243{}jcik, 2015)","plainCitation":"(Haberly &amp; Wójcik, 2015)","noteIndex":0},"citationItems":[{"id":5613,"uris":["http://zotero.org/groups/997303/items/59K2TIUJ"],"uri":["http://zotero.org/groups/997303/items/59K2TIUJ"],"itemData":{"id":5613,"type":"article-journal","abstract":"While foreign direct investment (FDI) is generally assumed to represent long-term investments within the real economy, approximately 30–50 percent of global FDI is accounted for by networks of offshore shell companies created by corporations and individuals for tax and other purposes. To date, there has been limited systematic research on the global structure of these networks. Here we address this gap by employing principal component analysis to decompose the global bilateral FDI anomaly matrix into its primary constituent subnetworks. We find that the global offshore FDI network is highly globalized, with a centralized core of jurisdictions in Northwest Europe and the Caribbean exercising a largely homogenous worldwide influence. To the extent that the network is internally differentiated, this appears to primarily reflect a historic layering of social and political relationships. We identify four primary offshore FDI subnetworks, bearing the imprint of four key processes and events: European, particularly UK colonialism, the post–WWII hegemonic alliance between the United States and Western Europe, the fall of Soviet communism, and the rise of Chinese capitalism. We also find evidence of qualitative, but not quantitative, variation in offshore FDI based on national rule of law and communist history.","container-title":"Economic Geography","DOI":"10.1111/ecge.12078","ISSN":"1944-8287","issue":"3","language":"en","note":"_eprint: https://onlinelibrary.wiley.com/doi/pdf/10.1111/ecge.12078","page":"251-280","source":"Wiley Online Library","title":"Regional Blocks and Imperial Legacies: Mapping the Global Offshore FDI Network","title-short":"Regional Blocks and Imperial Legacies","volume":"91","author":[{"family":"Haberly","given":"Daniel"},{"family":"Wójcik","given":"Dariusz"}],"issued":{"date-parts":[["2015"]]}}}],"schema":"https://github.com/citation-style-language/schema/raw/master/csl-citation.json"} </w:instrText>
      </w:r>
      <w:r w:rsidR="00420356" w:rsidRPr="00B90A24">
        <w:rPr>
          <w:rFonts w:eastAsia="Times New Roman" w:cs="Times New Roman"/>
          <w:sz w:val="28"/>
          <w:szCs w:val="28"/>
        </w:rPr>
        <w:fldChar w:fldCharType="separate"/>
      </w:r>
      <w:r w:rsidR="00B133DE" w:rsidRPr="00B90A24">
        <w:rPr>
          <w:rFonts w:cs="Times New Roman"/>
          <w:sz w:val="28"/>
          <w:szCs w:val="28"/>
        </w:rPr>
        <w:t>(Haberly &amp; Wójcik, 2015)</w:t>
      </w:r>
      <w:r w:rsidR="00420356" w:rsidRPr="00B90A24">
        <w:rPr>
          <w:rFonts w:eastAsia="Times New Roman" w:cs="Times New Roman"/>
          <w:sz w:val="28"/>
          <w:szCs w:val="28"/>
        </w:rPr>
        <w:fldChar w:fldCharType="end"/>
      </w:r>
      <w:r w:rsidRPr="00B90A24">
        <w:rPr>
          <w:rFonts w:eastAsia="Times New Roman" w:cs="Times New Roman"/>
          <w:sz w:val="28"/>
          <w:szCs w:val="28"/>
        </w:rPr>
        <w:t>, and some data may just capture flows through countries with stops in a country often for tax optimisation purposes</w:t>
      </w:r>
      <w:r w:rsidR="00420356" w:rsidRPr="00B90A24">
        <w:rPr>
          <w:rFonts w:eastAsia="Times New Roman" w:cs="Times New Roman"/>
          <w:sz w:val="28"/>
          <w:szCs w:val="28"/>
        </w:rPr>
        <w:t xml:space="preserve"> </w:t>
      </w:r>
      <w:r w:rsidR="00420356" w:rsidRPr="00B90A24">
        <w:rPr>
          <w:rFonts w:eastAsia="Times New Roman" w:cs="Times New Roman"/>
          <w:sz w:val="28"/>
          <w:szCs w:val="28"/>
        </w:rPr>
        <w:fldChar w:fldCharType="begin"/>
      </w:r>
      <w:r w:rsidR="00500851" w:rsidRPr="00B90A24">
        <w:rPr>
          <w:rFonts w:eastAsia="Times New Roman" w:cs="Times New Roman"/>
          <w:sz w:val="28"/>
          <w:szCs w:val="28"/>
        </w:rPr>
        <w:instrText xml:space="preserve"> ADDIN ZOTERO_ITEM CSL_CITATION {"citationID":"m9lVBNUy","properties":{"formattedCitation":"(International Monetary Fund, 2014, p. 18; United Nations Conference on Trade and Development, 2015)","plainCitation":"(International Monetary Fund, 2014, p. 18; United Nations Conference on Trade and Development, 2015)","noteIndex":0},"citationItems":[{"id":4136,"uris":["http://zotero.org/groups/997303/items/L8AL77ZG"],"uri":["http://zotero.org/groups/997303/items/L8AL77ZG"],"itemData":{"id":4136,"type":"report","genre":"IMF Policy Briefs","title":"Spillovers in international corporate taxation","URL":"https://www.imf.org/external/np/pp/eng/2014/050914.pdf","author":[{"family":"International Monetary Fund","given":""}],"accessed":{"date-parts":[["2019",5,23]]},"issued":{"date-parts":[["2014",5,9]]}},"locator":"18"},{"id":5614,"uris":["http://zotero.org/groups/997303/items/Q2525WRR"],"uri":["http://zotero.org/groups/997303/items/Q2525WRR"],"itemData":{"id":5614,"type":"article","title":"FDI, Tax and Development. The Fiscal Role of Multinational Enterprises: Towards Guidelines for Coherent International Tax and Investment Policies","URL":"https://www.tralac.org/images/docs/7262/fdi-tax-and-development-unctad-working-paper-march-2015.pdf","author":[{"family":"United Nations Conference on Trade and Development","given":""}],"accessed":{"date-parts":[["2020",4,16]]},"issued":{"date-parts":[["2015",3,26]]}}}],"schema":"https://github.com/citation-style-language/schema/raw/master/csl-citation.json"} </w:instrText>
      </w:r>
      <w:r w:rsidR="00420356" w:rsidRPr="00B90A24">
        <w:rPr>
          <w:rFonts w:eastAsia="Times New Roman" w:cs="Times New Roman"/>
          <w:sz w:val="28"/>
          <w:szCs w:val="28"/>
        </w:rPr>
        <w:fldChar w:fldCharType="separate"/>
      </w:r>
      <w:r w:rsidR="00B133DE" w:rsidRPr="00B90A24">
        <w:rPr>
          <w:rFonts w:cs="Times New Roman"/>
          <w:sz w:val="28"/>
          <w:szCs w:val="28"/>
        </w:rPr>
        <w:t>(International Monetary Fund, 2014, p. 18; United Nations Conference on Trade and Development, 2015)</w:t>
      </w:r>
      <w:r w:rsidR="00420356" w:rsidRPr="00B90A24">
        <w:rPr>
          <w:rFonts w:eastAsia="Times New Roman" w:cs="Times New Roman"/>
          <w:sz w:val="28"/>
          <w:szCs w:val="28"/>
        </w:rPr>
        <w:fldChar w:fldCharType="end"/>
      </w:r>
      <w:r w:rsidRPr="00B90A24">
        <w:rPr>
          <w:rFonts w:eastAsia="Times New Roman" w:cs="Times New Roman"/>
          <w:sz w:val="28"/>
          <w:szCs w:val="28"/>
        </w:rPr>
        <w:t xml:space="preserve">. </w:t>
      </w:r>
      <w:r w:rsidR="00130958" w:rsidRPr="00B90A24">
        <w:rPr>
          <w:rFonts w:eastAsia="Times New Roman" w:cs="Times New Roman"/>
          <w:sz w:val="28"/>
          <w:szCs w:val="28"/>
        </w:rPr>
        <w:t>This is problematic since, “</w:t>
      </w:r>
      <w:r w:rsidR="006260E3" w:rsidRPr="00B90A24">
        <w:rPr>
          <w:rFonts w:cs="Times New Roman"/>
          <w:color w:val="000000" w:themeColor="text1"/>
          <w:sz w:val="28"/>
          <w:szCs w:val="28"/>
        </w:rPr>
        <w:t>even the few studies showing a positive relationship between tax incentives and net FDI inflows are not valid evidence for arguing an unambiguous effect of tax incentives on desired greenfield investment, whether it is by tax rate cuts, tax holidays, tax exemptions, or tax treaties</w:t>
      </w:r>
      <w:r w:rsidR="00130958" w:rsidRPr="00B90A24">
        <w:rPr>
          <w:rFonts w:cs="Times New Roman"/>
          <w:color w:val="000000" w:themeColor="text1"/>
          <w:sz w:val="28"/>
          <w:szCs w:val="28"/>
        </w:rPr>
        <w:t xml:space="preserve">” </w:t>
      </w:r>
      <w:r w:rsidR="00D4110B" w:rsidRPr="00B90A24">
        <w:rPr>
          <w:rFonts w:cs="Times New Roman"/>
          <w:color w:val="000000" w:themeColor="text1"/>
          <w:sz w:val="28"/>
          <w:szCs w:val="28"/>
        </w:rPr>
        <w:fldChar w:fldCharType="begin"/>
      </w:r>
      <w:r w:rsidR="00500851" w:rsidRPr="00B90A24">
        <w:rPr>
          <w:rFonts w:cs="Times New Roman"/>
          <w:color w:val="000000" w:themeColor="text1"/>
          <w:sz w:val="28"/>
          <w:szCs w:val="28"/>
        </w:rPr>
        <w:instrText xml:space="preserve"> ADDIN ZOTERO_ITEM CSL_CITATION {"citationID":"u8b9S3Ip","properties":{"formattedCitation":"(Meinzer et al., 2019, p. 6)","plainCitation":"(Meinzer et al., 2019, p. 6)","noteIndex":0},"citationItems":[{"id":3689,"uris":["http://zotero.org/groups/997303/items/FMVC7FGM"],"uri":["http://zotero.org/groups/997303/items/FMVC7FGM"],"itemData":{"id":3689,"type":"report","abstract":"Recent research suggests that profit based tax incentives are costly, tend to fail in attracting additional desirable foreign direct investment, and are problematic especially when they are temporary (eg tax holidays), geographically confined (eg economic zones) and when they provide full tax exemption/nil taxation (vs. tax reduction concession). Yet, there is no publicly available dataset that would allow systematic panel analyses across jurisdictions of these phenomena. This research gap limits the validity and reliability of existing research findings, and constrains future research into the relative effects and costs of tax incentives. Therefore, we analyse 15 countries, testing data availability, comparability and potential criteria for establishing an assessment matrix for a public cross-country dataset of profit based tax incentives. Preliminary findings suggest that when compared, high income countries tend to offer more cost based incentives, while middle and low income countries most often rely on special economic zones and tax holidays.","language":"en","page":"43","source":"Zotero","title":"Comparing tax incentives across jurisdictions: a pilot study","URL":"https://www.taxjustice.net/wp-content/uploads/2018/12/Comparing-tax-incentives-across-jurisdictions_Tax-Justice-Network_2019.pdf","author":[{"family":"Meinzer","given":"Markus"},{"family":"Ndajiwo","given":"Mustapha"},{"family":"Etter-Phoya","given":"Rachel"},{"family":"Diakité","given":"Maïmouna"}],"accessed":{"date-parts":[["2019",7,3]]},"issued":{"date-parts":[["2019"]]}},"locator":"6"}],"schema":"https://github.com/citation-style-language/schema/raw/master/csl-citation.json"} </w:instrText>
      </w:r>
      <w:r w:rsidR="00D4110B" w:rsidRPr="00B90A24">
        <w:rPr>
          <w:rFonts w:cs="Times New Roman"/>
          <w:color w:val="000000" w:themeColor="text1"/>
          <w:sz w:val="28"/>
          <w:szCs w:val="28"/>
        </w:rPr>
        <w:fldChar w:fldCharType="separate"/>
      </w:r>
      <w:r w:rsidR="00B133DE" w:rsidRPr="00B90A24">
        <w:rPr>
          <w:rFonts w:cs="Times New Roman"/>
          <w:sz w:val="28"/>
          <w:szCs w:val="28"/>
        </w:rPr>
        <w:t>(Meinzer et al., 2019, p. 6)</w:t>
      </w:r>
      <w:r w:rsidR="00D4110B" w:rsidRPr="00B90A24">
        <w:rPr>
          <w:rFonts w:cs="Times New Roman"/>
          <w:color w:val="000000" w:themeColor="text1"/>
          <w:sz w:val="28"/>
          <w:szCs w:val="28"/>
        </w:rPr>
        <w:fldChar w:fldCharType="end"/>
      </w:r>
      <w:r w:rsidR="006260E3" w:rsidRPr="00B90A24">
        <w:rPr>
          <w:rFonts w:cs="Times New Roman"/>
          <w:color w:val="000000" w:themeColor="text1"/>
          <w:sz w:val="28"/>
          <w:szCs w:val="28"/>
        </w:rPr>
        <w:t>.</w:t>
      </w:r>
      <w:r w:rsidR="00AC08AE" w:rsidRPr="00B90A24">
        <w:rPr>
          <w:rFonts w:cs="Times New Roman"/>
          <w:color w:val="000000" w:themeColor="text1"/>
          <w:sz w:val="28"/>
          <w:szCs w:val="28"/>
        </w:rPr>
        <w:t xml:space="preserve"> </w:t>
      </w:r>
      <w:r w:rsidR="00025836" w:rsidRPr="00B90A24">
        <w:rPr>
          <w:rFonts w:cs="Times New Roman"/>
          <w:color w:val="000000" w:themeColor="text1"/>
          <w:sz w:val="28"/>
          <w:szCs w:val="28"/>
        </w:rPr>
        <w:t xml:space="preserve">For example, merger and acquisitions are often counted as FDI, yet </w:t>
      </w:r>
      <w:r w:rsidR="009C2F7F" w:rsidRPr="00B90A24">
        <w:rPr>
          <w:rFonts w:cs="Times New Roman"/>
          <w:color w:val="000000" w:themeColor="text1"/>
          <w:sz w:val="28"/>
          <w:szCs w:val="28"/>
        </w:rPr>
        <w:t>research shows that “most mergers do not create value for anyone, except perhaps the investment bankers who negotiated the deal”</w:t>
      </w:r>
      <w:r w:rsidR="003A049D" w:rsidRPr="00B90A24">
        <w:rPr>
          <w:rFonts w:cs="Times New Roman"/>
          <w:color w:val="000000" w:themeColor="text1"/>
          <w:sz w:val="28"/>
          <w:szCs w:val="28"/>
        </w:rPr>
        <w:t xml:space="preserve"> </w:t>
      </w:r>
      <w:r w:rsidR="003A049D" w:rsidRPr="00B90A24">
        <w:rPr>
          <w:rFonts w:cs="Times New Roman"/>
          <w:color w:val="000000" w:themeColor="text1"/>
          <w:sz w:val="28"/>
          <w:szCs w:val="28"/>
        </w:rPr>
        <w:fldChar w:fldCharType="begin"/>
      </w:r>
      <w:r w:rsidR="00500851" w:rsidRPr="00B90A24">
        <w:rPr>
          <w:rFonts w:cs="Times New Roman"/>
          <w:color w:val="000000" w:themeColor="text1"/>
          <w:sz w:val="28"/>
          <w:szCs w:val="28"/>
        </w:rPr>
        <w:instrText xml:space="preserve"> ADDIN ZOTERO_ITEM CSL_CITATION {"citationID":"p2LicwJE","properties":{"formattedCitation":"(Schilling, 2018, p. 186)","plainCitation":"(Schilling, 2018, p. 186)","noteIndex":0},"citationItems":[{"id":5588,"uris":["http://zotero.org/groups/997303/items/8F8XL7XX"],"uri":["http://zotero.org/groups/997303/items/8F8XL7XX"],"itemData":{"id":5588,"type":"article-journal","abstract":"Firms engage in mergers for many reasons, some of which create value for both the firm’s shareholders and society, some that create value only for the firm’s shareholders, and some that fail even to do that. A considerable body of research concludes that most mergers do not create value for anyone, except perhaps the investment bankers who negotiated the deal. For a merger to create value, it will usually be necessary that one or both parties is below minimum efficient scale or has valuable underutilized assets. Furthermore, unless heavy coordination and long-term commitment are required, many sources of value from mergers can be achieved through collaboration agreements or other contracts, with less risk to the firms and to economic efficiency. This article outlines the major sources of potential value in mergers, and indicators that can give us insight into a merger’s true motives and its likelihood of creating value.","container-title":"The Antitrust Bulletin","DOI":"10.1177/0003603X18770068","ISSN":"0003-603X","issue":"2","journalAbbreviation":"The Antitrust Bulletin","language":"en","note":"publisher: SAGE Publications Inc","page":"183-197","source":"SAGE Journals","title":"Potential Sources of Value from Mergers and Their Indicators","volume":"63","author":[{"family":"Schilling","given":"Melissa A."}],"issued":{"date-parts":[["2018",6,1]]}},"locator":"186"}],"schema":"https://github.com/citation-style-language/schema/raw/master/csl-citation.json"} </w:instrText>
      </w:r>
      <w:r w:rsidR="003A049D" w:rsidRPr="00B90A24">
        <w:rPr>
          <w:rFonts w:cs="Times New Roman"/>
          <w:color w:val="000000" w:themeColor="text1"/>
          <w:sz w:val="28"/>
          <w:szCs w:val="28"/>
        </w:rPr>
        <w:fldChar w:fldCharType="separate"/>
      </w:r>
      <w:r w:rsidR="00B133DE" w:rsidRPr="00B90A24">
        <w:rPr>
          <w:rFonts w:cs="Times New Roman"/>
          <w:sz w:val="28"/>
          <w:szCs w:val="28"/>
        </w:rPr>
        <w:t>(Schilling, 2018, p. 186)</w:t>
      </w:r>
      <w:r w:rsidR="003A049D" w:rsidRPr="00B90A24">
        <w:rPr>
          <w:rFonts w:cs="Times New Roman"/>
          <w:color w:val="000000" w:themeColor="text1"/>
          <w:sz w:val="28"/>
          <w:szCs w:val="28"/>
        </w:rPr>
        <w:fldChar w:fldCharType="end"/>
      </w:r>
      <w:r w:rsidR="003A049D" w:rsidRPr="00B90A24">
        <w:rPr>
          <w:rFonts w:cs="Times New Roman"/>
          <w:color w:val="000000" w:themeColor="text1"/>
          <w:sz w:val="28"/>
          <w:szCs w:val="28"/>
        </w:rPr>
        <w:t>.</w:t>
      </w:r>
      <w:r w:rsidR="009C2F7F" w:rsidRPr="00B90A24">
        <w:rPr>
          <w:rFonts w:cs="Times New Roman"/>
          <w:color w:val="000000" w:themeColor="text1"/>
          <w:sz w:val="28"/>
          <w:szCs w:val="28"/>
        </w:rPr>
        <w:t xml:space="preserve"> </w:t>
      </w:r>
    </w:p>
    <w:p w14:paraId="7798435E" w14:textId="77777777" w:rsidR="00783A4C" w:rsidRPr="00B90A24" w:rsidRDefault="00783A4C" w:rsidP="00B90A24">
      <w:pPr>
        <w:spacing w:after="0" w:line="240" w:lineRule="auto"/>
        <w:ind w:left="567" w:right="890"/>
        <w:jc w:val="both"/>
        <w:rPr>
          <w:rFonts w:eastAsia="Times New Roman" w:cs="Times New Roman"/>
          <w:sz w:val="28"/>
          <w:szCs w:val="28"/>
        </w:rPr>
      </w:pPr>
    </w:p>
    <w:p w14:paraId="6E0F47CB" w14:textId="672545BE" w:rsidR="00695178" w:rsidRPr="00B90A24" w:rsidRDefault="00950F58" w:rsidP="00B90A24">
      <w:pPr>
        <w:spacing w:after="0" w:line="240" w:lineRule="auto"/>
        <w:ind w:left="567" w:right="890"/>
        <w:jc w:val="both"/>
        <w:rPr>
          <w:sz w:val="28"/>
          <w:szCs w:val="28"/>
          <w:lang w:eastAsia="en-GB"/>
        </w:rPr>
      </w:pPr>
      <w:r w:rsidRPr="00B90A24">
        <w:rPr>
          <w:rFonts w:eastAsia="Times New Roman" w:cs="Times New Roman"/>
          <w:sz w:val="28"/>
          <w:szCs w:val="28"/>
        </w:rPr>
        <w:t>Patent box regimes</w:t>
      </w:r>
      <w:r w:rsidR="002950DB" w:rsidRPr="00B90A24">
        <w:rPr>
          <w:rFonts w:eastAsia="Times New Roman" w:cs="Times New Roman"/>
          <w:sz w:val="28"/>
          <w:szCs w:val="28"/>
        </w:rPr>
        <w:t>,</w:t>
      </w:r>
      <w:r w:rsidRPr="00B90A24">
        <w:rPr>
          <w:rStyle w:val="FootnoteReference"/>
          <w:sz w:val="28"/>
          <w:szCs w:val="28"/>
        </w:rPr>
        <w:footnoteReference w:id="14"/>
      </w:r>
      <w:r w:rsidR="002950DB" w:rsidRPr="00B90A24">
        <w:rPr>
          <w:rFonts w:eastAsia="Times New Roman" w:cs="Times New Roman"/>
          <w:sz w:val="28"/>
          <w:szCs w:val="28"/>
        </w:rPr>
        <w:t xml:space="preserve"> assessed in the category “loopholes and gaps”,</w:t>
      </w:r>
      <w:r w:rsidRPr="00B90A24">
        <w:rPr>
          <w:rFonts w:eastAsia="Times New Roman" w:cs="Times New Roman"/>
          <w:sz w:val="28"/>
          <w:szCs w:val="28"/>
        </w:rPr>
        <w:t xml:space="preserve"> are particularly pertinent given the</w:t>
      </w:r>
      <w:bookmarkStart w:id="29" w:name="_Hlk36795419"/>
      <w:r w:rsidRPr="00B90A24">
        <w:rPr>
          <w:sz w:val="28"/>
          <w:szCs w:val="28"/>
        </w:rPr>
        <w:t xml:space="preserve"> digital transformation of the global economy, which has shaken the foundations of the century-old international taxation system. Digitalised business models rely on investment in intangible assets, especially intellectual property assets, such as algorithms and software that supports website and online platforms</w:t>
      </w:r>
      <w:r w:rsidR="002950DB" w:rsidRPr="00B90A24">
        <w:rPr>
          <w:sz w:val="28"/>
          <w:szCs w:val="28"/>
        </w:rPr>
        <w:t xml:space="preserve">. These intangible assets </w:t>
      </w:r>
      <w:r w:rsidRPr="00B90A24">
        <w:rPr>
          <w:sz w:val="28"/>
          <w:szCs w:val="28"/>
        </w:rPr>
        <w:t xml:space="preserve">may be owned by a subsidiary of a multinational company </w:t>
      </w:r>
      <w:r w:rsidRPr="00B90A24">
        <w:rPr>
          <w:sz w:val="28"/>
          <w:szCs w:val="28"/>
        </w:rPr>
        <w:fldChar w:fldCharType="begin"/>
      </w:r>
      <w:r w:rsidR="00A06D6C" w:rsidRPr="00B90A24">
        <w:rPr>
          <w:sz w:val="28"/>
          <w:szCs w:val="28"/>
        </w:rPr>
        <w:instrText xml:space="preserve"> ADDIN ZOTERO_ITEM CSL_CITATION {"citationID":"acRRA9mg","properties":{"formattedCitation":"(OECD, 2019c, p. 3)","plainCitation":"(OECD, 2019c, p. 3)","noteIndex":0},"citationItems":[{"id":4278,"uris":["http://zotero.org/groups/997303/items/LTUR6KM2"],"uri":["http://zotero.org/groups/997303/items/LTUR6KM2"],"itemData":{"id":4278,"type":"report","collection-title":"OECD Going Digital Policy Note","event-place":"Paris","publisher":"OECD","publisher-place":"Paris","title":"Tax and Digitalisation","URL":"https://www.oecd.org/going-digital/tax-and-digitalisation.pdf","author":[{"family":"OECD","given":""}],"accessed":{"date-parts":[["2019",6,6]]},"issued":{"date-parts":[["2019"]]}},"locator":"3"}],"schema":"https://github.com/citation-style-language/schema/raw/master/csl-citation.json"} </w:instrText>
      </w:r>
      <w:r w:rsidRPr="00B90A24">
        <w:rPr>
          <w:sz w:val="28"/>
          <w:szCs w:val="28"/>
        </w:rPr>
        <w:fldChar w:fldCharType="separate"/>
      </w:r>
      <w:r w:rsidR="00B133DE" w:rsidRPr="00B90A24">
        <w:rPr>
          <w:rFonts w:cs="Times New Roman"/>
          <w:sz w:val="28"/>
          <w:szCs w:val="28"/>
        </w:rPr>
        <w:t>(OECD, 2019c, p. 3)</w:t>
      </w:r>
      <w:r w:rsidRPr="00B90A24">
        <w:rPr>
          <w:sz w:val="28"/>
          <w:szCs w:val="28"/>
        </w:rPr>
        <w:fldChar w:fldCharType="end"/>
      </w:r>
      <w:r w:rsidRPr="00B90A24">
        <w:rPr>
          <w:sz w:val="28"/>
          <w:szCs w:val="28"/>
        </w:rPr>
        <w:t xml:space="preserve">. </w:t>
      </w:r>
      <w:r w:rsidR="00E84EF5" w:rsidRPr="00B90A24">
        <w:rPr>
          <w:sz w:val="28"/>
          <w:szCs w:val="28"/>
        </w:rPr>
        <w:t>By transferring intangible assets to jurisdictions with p</w:t>
      </w:r>
      <w:r w:rsidRPr="00B90A24">
        <w:rPr>
          <w:sz w:val="28"/>
          <w:szCs w:val="28"/>
        </w:rPr>
        <w:t xml:space="preserve">referential regimes for the tax treatment of </w:t>
      </w:r>
      <w:r w:rsidR="00B558C9" w:rsidRPr="00B90A24">
        <w:rPr>
          <w:sz w:val="28"/>
          <w:szCs w:val="28"/>
        </w:rPr>
        <w:t xml:space="preserve">income related to </w:t>
      </w:r>
      <w:r w:rsidRPr="00B90A24">
        <w:rPr>
          <w:sz w:val="28"/>
          <w:szCs w:val="28"/>
        </w:rPr>
        <w:t xml:space="preserve">intellectual property, </w:t>
      </w:r>
      <w:r w:rsidR="005A220C" w:rsidRPr="00B90A24">
        <w:rPr>
          <w:sz w:val="28"/>
          <w:szCs w:val="28"/>
        </w:rPr>
        <w:t xml:space="preserve">corporate tax bases can be </w:t>
      </w:r>
      <w:r w:rsidR="005F2CDB" w:rsidRPr="00B90A24">
        <w:rPr>
          <w:sz w:val="28"/>
          <w:szCs w:val="28"/>
        </w:rPr>
        <w:t xml:space="preserve">easily </w:t>
      </w:r>
      <w:r w:rsidR="005A220C" w:rsidRPr="00B90A24">
        <w:rPr>
          <w:sz w:val="28"/>
          <w:szCs w:val="28"/>
        </w:rPr>
        <w:t>eroded in countries where the multinational company operates</w:t>
      </w:r>
      <w:r w:rsidR="009914FF" w:rsidRPr="00B90A24">
        <w:rPr>
          <w:sz w:val="28"/>
          <w:szCs w:val="28"/>
        </w:rPr>
        <w:t xml:space="preserve"> </w:t>
      </w:r>
      <w:r w:rsidR="009914FF" w:rsidRPr="00B90A24">
        <w:rPr>
          <w:sz w:val="28"/>
          <w:szCs w:val="28"/>
        </w:rPr>
        <w:fldChar w:fldCharType="begin"/>
      </w:r>
      <w:r w:rsidR="00A06D6C" w:rsidRPr="00B90A24">
        <w:rPr>
          <w:sz w:val="28"/>
          <w:szCs w:val="28"/>
        </w:rPr>
        <w:instrText xml:space="preserve"> ADDIN ZOTERO_ITEM CSL_CITATION {"citationID":"a2lglithl89","properties":{"formattedCitation":"(Diaz, 2019)","plainCitation":"(Diaz, 2019)","noteIndex":0},"citationItems":[{"id":5908,"uris":["http://zotero.org/groups/997303/items/3QH29F85"],"uri":["http://zotero.org/groups/997303/items/3QH29F85"],"itemData":{"id":5908,"type":"article-journal","container-title":"International Journal of Public Law and Policy","DOI":"10.1504/IJPLAP.2019.102882","ISSN":"2044-7663, 2044-7671","issue":"3","journalAbbreviation":"IJPLAP","language":"en","page":"270","source":"DOI.org (Crossref)","title":"Patent boxes and the erosion of trust in trade and in governance","volume":"6","author":[{"family":"Diaz","given":"Esperanza Buitrago"}],"issued":{"date-parts":[["2019"]]}}}],"schema":"https://github.com/citation-style-language/schema/raw/master/csl-citation.json"} </w:instrText>
      </w:r>
      <w:r w:rsidR="009914FF" w:rsidRPr="00B90A24">
        <w:rPr>
          <w:sz w:val="28"/>
          <w:szCs w:val="28"/>
        </w:rPr>
        <w:fldChar w:fldCharType="separate"/>
      </w:r>
      <w:r w:rsidR="00B133DE" w:rsidRPr="00B90A24">
        <w:rPr>
          <w:rFonts w:cs="Times New Roman"/>
          <w:sz w:val="28"/>
          <w:szCs w:val="28"/>
        </w:rPr>
        <w:t>(Diaz, 2019)</w:t>
      </w:r>
      <w:r w:rsidR="009914FF" w:rsidRPr="00B90A24">
        <w:rPr>
          <w:sz w:val="28"/>
          <w:szCs w:val="28"/>
        </w:rPr>
        <w:fldChar w:fldCharType="end"/>
      </w:r>
      <w:r w:rsidR="005A220C" w:rsidRPr="00B90A24">
        <w:rPr>
          <w:sz w:val="28"/>
          <w:szCs w:val="28"/>
        </w:rPr>
        <w:t xml:space="preserve">. </w:t>
      </w:r>
      <w:r w:rsidR="00F70143" w:rsidRPr="00B90A24">
        <w:rPr>
          <w:sz w:val="28"/>
          <w:szCs w:val="28"/>
        </w:rPr>
        <w:t xml:space="preserve">These preferential regimes are </w:t>
      </w:r>
      <w:r w:rsidRPr="00B90A24">
        <w:rPr>
          <w:rFonts w:eastAsia="Verdana" w:cs="Verdana"/>
          <w:color w:val="000000"/>
          <w:sz w:val="28"/>
          <w:szCs w:val="28"/>
          <w:lang w:eastAsia="en-GB"/>
        </w:rPr>
        <w:t xml:space="preserve">referred to as “patent box regimes” even though they are used more extensively than for patent incentives alone </w:t>
      </w:r>
      <w:r w:rsidRPr="00B90A24">
        <w:rPr>
          <w:sz w:val="28"/>
          <w:szCs w:val="28"/>
        </w:rPr>
        <w:fldChar w:fldCharType="begin"/>
      </w:r>
      <w:r w:rsidR="00500851" w:rsidRPr="00B90A24">
        <w:rPr>
          <w:sz w:val="28"/>
          <w:szCs w:val="28"/>
        </w:rPr>
        <w:instrText xml:space="preserve"> ADDIN ZOTERO_ITEM CSL_CITATION {"citationID":"k4E3gHEB","properties":{"formattedCitation":"(Cobham, 2015)","plainCitation":"(Cobham, 2015)","noteIndex":0},"citationItems":[{"id":4280,"uris":["http://zotero.org/groups/997303/items/UUIFH335"],"uri":["http://zotero.org/groups/997303/items/UUIFH335"],"itemData":{"id":4280,"type":"post-weblog","container-title":"Tax Justice Network","language":"en-GB","title":"Will the patent box break BEPS?","URL":"https://www.taxjustice.net/2015/07/20/will-the-patent-box-break-beps/, https://www.taxjustice.net/2015/07/20/will-the-patent-box-break-beps/","author":[{"family":"Cobham","given":"Alex"}],"accessed":{"date-parts":[["2019",6,6]]},"issued":{"date-parts":[["2015",7,20]]}}}],"schema":"https://github.com/citation-style-language/schema/raw/master/csl-citation.json"} </w:instrText>
      </w:r>
      <w:r w:rsidRPr="00B90A24">
        <w:rPr>
          <w:sz w:val="28"/>
          <w:szCs w:val="28"/>
        </w:rPr>
        <w:fldChar w:fldCharType="separate"/>
      </w:r>
      <w:r w:rsidR="00B133DE" w:rsidRPr="00B90A24">
        <w:rPr>
          <w:rFonts w:cs="Times New Roman"/>
          <w:sz w:val="28"/>
          <w:szCs w:val="28"/>
        </w:rPr>
        <w:t>(Cobham, 2015)</w:t>
      </w:r>
      <w:r w:rsidRPr="00B90A24">
        <w:rPr>
          <w:sz w:val="28"/>
          <w:szCs w:val="28"/>
        </w:rPr>
        <w:fldChar w:fldCharType="end"/>
      </w:r>
      <w:r w:rsidRPr="00B90A24">
        <w:rPr>
          <w:sz w:val="28"/>
          <w:szCs w:val="28"/>
        </w:rPr>
        <w:t xml:space="preserve">. </w:t>
      </w:r>
      <w:r w:rsidR="00C51FB3" w:rsidRPr="00B90A24">
        <w:rPr>
          <w:sz w:val="28"/>
          <w:szCs w:val="28"/>
        </w:rPr>
        <w:t xml:space="preserve">As the evidence below shows, </w:t>
      </w:r>
      <w:r w:rsidR="00C51FB3" w:rsidRPr="00B90A24">
        <w:rPr>
          <w:sz w:val="28"/>
          <w:szCs w:val="28"/>
          <w:lang w:eastAsia="en-GB"/>
        </w:rPr>
        <w:t xml:space="preserve">patent box regimes are </w:t>
      </w:r>
      <w:r w:rsidR="002950DB" w:rsidRPr="00B90A24">
        <w:rPr>
          <w:sz w:val="28"/>
          <w:szCs w:val="28"/>
          <w:lang w:eastAsia="en-GB"/>
        </w:rPr>
        <w:t xml:space="preserve">exposing the tax base of </w:t>
      </w:r>
      <w:r w:rsidR="00C51FB3" w:rsidRPr="00B90A24">
        <w:rPr>
          <w:sz w:val="28"/>
          <w:szCs w:val="28"/>
          <w:lang w:eastAsia="en-GB"/>
        </w:rPr>
        <w:t>particularly developing countries</w:t>
      </w:r>
      <w:r w:rsidR="002950DB" w:rsidRPr="00B90A24">
        <w:rPr>
          <w:sz w:val="28"/>
          <w:szCs w:val="28"/>
          <w:lang w:eastAsia="en-GB"/>
        </w:rPr>
        <w:t xml:space="preserve"> to risk</w:t>
      </w:r>
      <w:r w:rsidR="005F2CDB" w:rsidRPr="00B90A24">
        <w:rPr>
          <w:sz w:val="28"/>
          <w:szCs w:val="28"/>
          <w:lang w:eastAsia="en-GB"/>
        </w:rPr>
        <w:t xml:space="preserve"> </w:t>
      </w:r>
      <w:r w:rsidR="00EE6FB7" w:rsidRPr="00B90A24">
        <w:rPr>
          <w:sz w:val="28"/>
          <w:szCs w:val="28"/>
          <w:lang w:eastAsia="en-GB"/>
        </w:rPr>
        <w:t>as</w:t>
      </w:r>
      <w:r w:rsidR="0015591F" w:rsidRPr="00B90A24">
        <w:rPr>
          <w:sz w:val="28"/>
          <w:szCs w:val="28"/>
          <w:lang w:eastAsia="en-GB"/>
        </w:rPr>
        <w:t xml:space="preserve"> </w:t>
      </w:r>
      <w:r w:rsidR="00EE6FB7" w:rsidRPr="00B90A24">
        <w:rPr>
          <w:sz w:val="28"/>
          <w:szCs w:val="28"/>
          <w:lang w:eastAsia="en-GB"/>
        </w:rPr>
        <w:t>t</w:t>
      </w:r>
      <w:r w:rsidR="00C51FB3" w:rsidRPr="00B90A24">
        <w:rPr>
          <w:sz w:val="28"/>
          <w:szCs w:val="28"/>
          <w:lang w:eastAsia="en-GB"/>
        </w:rPr>
        <w:t xml:space="preserve">hese countries may be used </w:t>
      </w:r>
      <w:r w:rsidR="008F608C" w:rsidRPr="00B90A24">
        <w:rPr>
          <w:sz w:val="28"/>
          <w:szCs w:val="28"/>
          <w:lang w:eastAsia="en-GB"/>
        </w:rPr>
        <w:t xml:space="preserve">only </w:t>
      </w:r>
      <w:r w:rsidR="00C51FB3" w:rsidRPr="00B90A24">
        <w:rPr>
          <w:sz w:val="28"/>
          <w:szCs w:val="28"/>
          <w:lang w:eastAsia="en-GB"/>
        </w:rPr>
        <w:t xml:space="preserve">as </w:t>
      </w:r>
      <w:r w:rsidR="00AC2F7D" w:rsidRPr="00B90A24">
        <w:rPr>
          <w:sz w:val="28"/>
          <w:szCs w:val="28"/>
          <w:lang w:eastAsia="en-GB"/>
        </w:rPr>
        <w:t xml:space="preserve">low profit </w:t>
      </w:r>
      <w:r w:rsidR="00C51FB3" w:rsidRPr="00B90A24">
        <w:rPr>
          <w:sz w:val="28"/>
          <w:szCs w:val="28"/>
          <w:lang w:eastAsia="en-GB"/>
        </w:rPr>
        <w:t>manufacturing platforms</w:t>
      </w:r>
      <w:r w:rsidR="002950DB" w:rsidRPr="00B90A24">
        <w:rPr>
          <w:sz w:val="28"/>
          <w:szCs w:val="28"/>
          <w:lang w:eastAsia="en-GB"/>
        </w:rPr>
        <w:t>,</w:t>
      </w:r>
      <w:r w:rsidR="00C51FB3" w:rsidRPr="00B90A24">
        <w:rPr>
          <w:sz w:val="28"/>
          <w:szCs w:val="28"/>
          <w:lang w:eastAsia="en-GB"/>
        </w:rPr>
        <w:t xml:space="preserve"> while their tax base </w:t>
      </w:r>
      <w:r w:rsidR="0015591F" w:rsidRPr="00B90A24">
        <w:rPr>
          <w:sz w:val="28"/>
          <w:szCs w:val="28"/>
          <w:lang w:eastAsia="en-GB"/>
        </w:rPr>
        <w:t xml:space="preserve">is </w:t>
      </w:r>
      <w:r w:rsidR="00AE1409" w:rsidRPr="00B90A24">
        <w:rPr>
          <w:sz w:val="28"/>
          <w:szCs w:val="28"/>
          <w:lang w:eastAsia="en-GB"/>
        </w:rPr>
        <w:t xml:space="preserve">eroded </w:t>
      </w:r>
      <w:r w:rsidR="0015591F" w:rsidRPr="00B90A24">
        <w:rPr>
          <w:sz w:val="28"/>
          <w:szCs w:val="28"/>
          <w:lang w:eastAsia="en-GB"/>
        </w:rPr>
        <w:t xml:space="preserve">through </w:t>
      </w:r>
      <w:r w:rsidR="00AE1409" w:rsidRPr="00B90A24">
        <w:rPr>
          <w:sz w:val="28"/>
          <w:szCs w:val="28"/>
          <w:lang w:eastAsia="en-GB"/>
        </w:rPr>
        <w:t xml:space="preserve">royalty payments ending up in low taxed </w:t>
      </w:r>
      <w:r w:rsidR="00C51FB3" w:rsidRPr="00B90A24">
        <w:rPr>
          <w:sz w:val="28"/>
          <w:szCs w:val="28"/>
          <w:lang w:eastAsia="en-GB"/>
        </w:rPr>
        <w:t>patent box regime</w:t>
      </w:r>
      <w:r w:rsidR="005F2CDB" w:rsidRPr="00B90A24">
        <w:rPr>
          <w:sz w:val="28"/>
          <w:szCs w:val="28"/>
          <w:lang w:eastAsia="en-GB"/>
        </w:rPr>
        <w:t>s</w:t>
      </w:r>
      <w:r w:rsidR="00C51FB3" w:rsidRPr="00B90A24">
        <w:rPr>
          <w:sz w:val="28"/>
          <w:szCs w:val="28"/>
          <w:lang w:eastAsia="en-GB"/>
        </w:rPr>
        <w:t xml:space="preserve">. </w:t>
      </w:r>
    </w:p>
    <w:p w14:paraId="28D966EF" w14:textId="77777777" w:rsidR="00695178" w:rsidRPr="00B90A24" w:rsidRDefault="00695178" w:rsidP="00B90A24">
      <w:pPr>
        <w:spacing w:after="0" w:line="240" w:lineRule="auto"/>
        <w:ind w:left="567" w:right="890"/>
        <w:jc w:val="both"/>
        <w:rPr>
          <w:rFonts w:eastAsia="Verdana" w:cs="Verdana"/>
          <w:color w:val="000000"/>
          <w:sz w:val="28"/>
          <w:szCs w:val="28"/>
          <w:lang w:eastAsia="en-GB"/>
        </w:rPr>
      </w:pPr>
    </w:p>
    <w:p w14:paraId="49A5CE03" w14:textId="54A01B80" w:rsidR="00695178" w:rsidRPr="00B90A24" w:rsidRDefault="00950F58" w:rsidP="00B90A24">
      <w:pPr>
        <w:spacing w:after="0" w:line="240" w:lineRule="auto"/>
        <w:ind w:left="567" w:right="890"/>
        <w:jc w:val="both"/>
        <w:rPr>
          <w:rFonts w:cs="Times New Roman"/>
          <w:sz w:val="28"/>
          <w:szCs w:val="28"/>
        </w:rPr>
      </w:pPr>
      <w:r w:rsidRPr="00B90A24">
        <w:rPr>
          <w:rFonts w:eastAsia="Verdana" w:cs="Verdana"/>
          <w:color w:val="000000"/>
          <w:sz w:val="28"/>
          <w:szCs w:val="28"/>
          <w:lang w:eastAsia="en-GB"/>
        </w:rPr>
        <w:t>A patent box regime provides tax privileges for highly profitable businesses and enables cross-border profit shifting into these tax regimes, undermining the tax bases of jurisdictions elsewhere</w:t>
      </w:r>
      <w:r w:rsidR="00836F2E" w:rsidRPr="00B90A24">
        <w:rPr>
          <w:rFonts w:eastAsia="Verdana" w:cs="Verdana"/>
          <w:color w:val="000000"/>
          <w:sz w:val="28"/>
          <w:szCs w:val="28"/>
          <w:lang w:eastAsia="en-GB"/>
        </w:rPr>
        <w:t xml:space="preserve"> </w:t>
      </w:r>
      <w:r w:rsidR="00836F2E" w:rsidRPr="00B90A24">
        <w:rPr>
          <w:rFonts w:eastAsia="Verdana" w:cs="Verdana"/>
          <w:color w:val="000000"/>
          <w:sz w:val="28"/>
          <w:szCs w:val="28"/>
          <w:lang w:eastAsia="en-GB"/>
        </w:rPr>
        <w:fldChar w:fldCharType="begin"/>
      </w:r>
      <w:r w:rsidR="00500851" w:rsidRPr="00B90A24">
        <w:rPr>
          <w:rFonts w:eastAsia="Verdana" w:cs="Verdana"/>
          <w:color w:val="000000"/>
          <w:sz w:val="28"/>
          <w:szCs w:val="28"/>
          <w:lang w:eastAsia="en-GB"/>
        </w:rPr>
        <w:instrText xml:space="preserve"> ADDIN ZOTERO_ITEM CSL_CITATION {"citationID":"gdtXImkr","properties":{"formattedCitation":"(Shaxson, 2014b)","plainCitation":"(Shaxson, 2014b)","noteIndex":0},"citationItems":[{"id":5554,"uris":["http://zotero.org/groups/997303/items/C4S6FNNY"],"uri":["http://zotero.org/groups/997303/items/C4S6FNNY"],"itemData":{"id":5554,"type":"post-weblog","container-title":"Tax Justice Network","language":"en-GB","note":"source: www.taxjustice.net","title":"Patent boxes: progress, or more racing to the bottom?","title-short":"Patent boxes","URL":"https://www.taxjustice.net/2014/11/17/patent-boxes-progress-racing-bottom/, https://www.taxjustice.net/2014/11/17/patent-boxes-progress-racing-bottom/","author":[{"family":"Shaxson","given":"Nicholas"}],"accessed":{"date-parts":[["2020",4,3]]},"issued":{"date-parts":[["2014",11,17]]}}}],"schema":"https://github.com/citation-style-language/schema/raw/master/csl-citation.json"} </w:instrText>
      </w:r>
      <w:r w:rsidR="00836F2E" w:rsidRPr="00B90A24">
        <w:rPr>
          <w:rFonts w:eastAsia="Verdana" w:cs="Verdana"/>
          <w:color w:val="000000"/>
          <w:sz w:val="28"/>
          <w:szCs w:val="28"/>
          <w:lang w:eastAsia="en-GB"/>
        </w:rPr>
        <w:fldChar w:fldCharType="separate"/>
      </w:r>
      <w:r w:rsidR="00B133DE" w:rsidRPr="00B90A24">
        <w:rPr>
          <w:rFonts w:cs="Times New Roman"/>
          <w:sz w:val="28"/>
          <w:szCs w:val="28"/>
        </w:rPr>
        <w:t>(Shaxson, 2014b)</w:t>
      </w:r>
      <w:r w:rsidR="00836F2E" w:rsidRPr="00B90A24">
        <w:rPr>
          <w:rFonts w:eastAsia="Verdana" w:cs="Verdana"/>
          <w:color w:val="000000"/>
          <w:sz w:val="28"/>
          <w:szCs w:val="28"/>
          <w:lang w:eastAsia="en-GB"/>
        </w:rPr>
        <w:fldChar w:fldCharType="end"/>
      </w:r>
      <w:r w:rsidR="00836F2E" w:rsidRPr="00B90A24">
        <w:rPr>
          <w:rFonts w:eastAsia="Verdana" w:cs="Verdana"/>
          <w:color w:val="000000"/>
          <w:sz w:val="28"/>
          <w:szCs w:val="28"/>
          <w:lang w:eastAsia="en-GB"/>
        </w:rPr>
        <w:t xml:space="preserve">. </w:t>
      </w:r>
      <w:r w:rsidRPr="00B90A24">
        <w:rPr>
          <w:rFonts w:eastAsia="Verdana" w:cs="Verdana"/>
          <w:sz w:val="28"/>
          <w:szCs w:val="28"/>
        </w:rPr>
        <w:t xml:space="preserve">Promises to spur innovation, tax revenues and growth through the introduction of patent boxes have failed to materialise in empirical data. In contrast, available </w:t>
      </w:r>
      <w:r w:rsidRPr="00B90A24">
        <w:rPr>
          <w:rFonts w:eastAsia="Verdana" w:cs="Verdana"/>
          <w:color w:val="000000"/>
          <w:sz w:val="28"/>
          <w:szCs w:val="28"/>
          <w:lang w:eastAsia="en-GB"/>
        </w:rPr>
        <w:t>evidence suggests that patent box regimes are effective only for raising multinationals’ share prices</w:t>
      </w:r>
      <w:r w:rsidR="00836F2E" w:rsidRPr="00B90A24">
        <w:rPr>
          <w:rFonts w:eastAsia="Verdana" w:cs="Verdana"/>
          <w:i/>
          <w:sz w:val="28"/>
          <w:szCs w:val="28"/>
        </w:rPr>
        <w:t xml:space="preserve"> </w:t>
      </w:r>
      <w:r w:rsidRPr="00B90A24">
        <w:rPr>
          <w:sz w:val="28"/>
          <w:szCs w:val="28"/>
        </w:rPr>
        <w:fldChar w:fldCharType="begin"/>
      </w:r>
      <w:r w:rsidR="00B133DE" w:rsidRPr="00B90A24">
        <w:rPr>
          <w:sz w:val="28"/>
          <w:szCs w:val="28"/>
        </w:rPr>
        <w:instrText xml:space="preserve"> ADDIN ZOTERO_ITEM CSL_CITATION {"citationID":"FajdjKmi","properties":{"formattedCitation":"(Guenther, 2017, p. 19)","plainCitation":"(Guenther, 2017, p. 19)","noteIndex":0},"citationItems":[{"id":"LppWUde1/HaNR5oLO","uris":["http://zotero.org/users/3783081/items/44I44GHR"],"uri":["http://zotero.org/users/3783081/items/44I44GHR"],"itemData":{"id":6577,"type":"report","title":"Patent Boxes: A Primer","publisher":"Congressional Research Service","page":"28","source":"Zotero","abstract":"Economists generally agree that government support for private investment in research and development (R&amp;D) is useful in correcting a market failure that predisposes most companies to invest less for that purpose than the overall economic benefits from R&amp;D investments would warrant. The market failure stems from a company’s inability to capture all the returns to its R&amp;D investments as a result of the spillover effects of successful R&amp;D investments.","URL":"https://fas.org/sgp/crs/misc/R44829.pdf","language":"en","author":[{"family":"Guenther","given":"Gary"}],"issued":{"date-parts":[["2017",5]]}},"locator":"19"}],"schema":"https://github.com/citation-style-language/schema/raw/master/csl-citation.json"} </w:instrText>
      </w:r>
      <w:r w:rsidRPr="00B90A24">
        <w:rPr>
          <w:sz w:val="28"/>
          <w:szCs w:val="28"/>
        </w:rPr>
        <w:fldChar w:fldCharType="separate"/>
      </w:r>
      <w:r w:rsidR="00B133DE" w:rsidRPr="00B90A24">
        <w:rPr>
          <w:rFonts w:cs="Times New Roman"/>
          <w:sz w:val="28"/>
          <w:szCs w:val="28"/>
        </w:rPr>
        <w:t>(Guenther, 2017, p. 19)</w:t>
      </w:r>
      <w:r w:rsidRPr="00B90A24">
        <w:rPr>
          <w:sz w:val="28"/>
          <w:szCs w:val="28"/>
        </w:rPr>
        <w:fldChar w:fldCharType="end"/>
      </w:r>
      <w:r w:rsidR="00415CD6" w:rsidRPr="00B90A24">
        <w:rPr>
          <w:rFonts w:eastAsia="Verdana" w:cs="Verdana"/>
          <w:sz w:val="28"/>
          <w:szCs w:val="28"/>
        </w:rPr>
        <w:t>.</w:t>
      </w:r>
      <w:bookmarkEnd w:id="29"/>
      <w:r w:rsidR="00695178" w:rsidRPr="00B90A24">
        <w:rPr>
          <w:sz w:val="28"/>
          <w:szCs w:val="28"/>
          <w:lang w:eastAsia="en-GB"/>
        </w:rPr>
        <w:t xml:space="preserve"> </w:t>
      </w:r>
      <w:r w:rsidR="00883811" w:rsidRPr="00B90A24">
        <w:rPr>
          <w:rFonts w:eastAsia="Verdana" w:cs="Verdana"/>
          <w:color w:val="000000"/>
          <w:sz w:val="28"/>
          <w:szCs w:val="28"/>
          <w:lang w:eastAsia="en-GB"/>
        </w:rPr>
        <w:t>E</w:t>
      </w:r>
      <w:r w:rsidRPr="00B90A24">
        <w:rPr>
          <w:rFonts w:eastAsia="Verdana" w:cs="Verdana"/>
          <w:color w:val="000000"/>
          <w:sz w:val="28"/>
          <w:szCs w:val="28"/>
          <w:lang w:eastAsia="en-GB"/>
        </w:rPr>
        <w:t xml:space="preserve">mpirical research published by the Max Planck Institute for </w:t>
      </w:r>
      <w:r w:rsidRPr="00B90A24">
        <w:rPr>
          <w:rFonts w:eastAsia="Verdana" w:cs="Verdana"/>
          <w:color w:val="000000"/>
          <w:sz w:val="28"/>
          <w:szCs w:val="28"/>
          <w:lang w:eastAsia="en-GB"/>
        </w:rPr>
        <w:lastRenderedPageBreak/>
        <w:t xml:space="preserve">Innovation and Competition analysed the effects of the introduction of patent box regimes in 13 European countries between 2000 and 2014. According to the research, given that a </w:t>
      </w:r>
      <w:r w:rsidRPr="00B90A24">
        <w:rPr>
          <w:rFonts w:eastAsia="Verdana" w:cs="Verdana"/>
          <w:sz w:val="28"/>
          <w:szCs w:val="28"/>
        </w:rPr>
        <w:t xml:space="preserve">patent box regime subsidises output rather than input, it benefits mainly companies that have already had success with their invention. And while it may encourage </w:t>
      </w:r>
      <w:r w:rsidRPr="00B90A24">
        <w:rPr>
          <w:rFonts w:eastAsia="Verdana" w:cs="Times New Roman"/>
          <w:sz w:val="28"/>
          <w:szCs w:val="28"/>
        </w:rPr>
        <w:t xml:space="preserve">other companies to undertake such inventions, this can be done in </w:t>
      </w:r>
      <w:r w:rsidR="002950DB" w:rsidRPr="00B90A24">
        <w:rPr>
          <w:rFonts w:eastAsia="Verdana" w:cs="Times New Roman"/>
          <w:sz w:val="28"/>
          <w:szCs w:val="28"/>
        </w:rPr>
        <w:t>better,</w:t>
      </w:r>
      <w:r w:rsidRPr="00B90A24">
        <w:rPr>
          <w:rFonts w:eastAsia="Verdana" w:cs="Times New Roman"/>
          <w:sz w:val="28"/>
          <w:szCs w:val="28"/>
        </w:rPr>
        <w:t xml:space="preserve"> more efficient way</w:t>
      </w:r>
      <w:r w:rsidR="002950DB" w:rsidRPr="00B90A24">
        <w:rPr>
          <w:rFonts w:eastAsia="Verdana" w:cs="Times New Roman"/>
          <w:sz w:val="28"/>
          <w:szCs w:val="28"/>
        </w:rPr>
        <w:t>s</w:t>
      </w:r>
      <w:r w:rsidR="00C51FB3" w:rsidRPr="00B90A24">
        <w:rPr>
          <w:rFonts w:eastAsia="Verdana" w:cs="Times New Roman"/>
          <w:sz w:val="28"/>
          <w:szCs w:val="28"/>
        </w:rPr>
        <w:t xml:space="preserve"> </w:t>
      </w:r>
      <w:r w:rsidRPr="00B90A24">
        <w:rPr>
          <w:rFonts w:cs="Times New Roman"/>
          <w:sz w:val="28"/>
          <w:szCs w:val="28"/>
        </w:rPr>
        <w:fldChar w:fldCharType="begin"/>
      </w:r>
      <w:r w:rsidR="00B133DE" w:rsidRPr="00B90A24">
        <w:rPr>
          <w:rFonts w:cs="Times New Roman"/>
          <w:sz w:val="28"/>
          <w:szCs w:val="28"/>
        </w:rPr>
        <w:instrText xml:space="preserve"> ADDIN ZOTERO_ITEM CSL_CITATION {"citationID":"UJMVQ4VR","properties":{"formattedCitation":"(Gaessler et al., 2018)","plainCitation":"(Gaessler et al., 2018)","noteIndex":0},"citationItems":[{"id":"LppWUde1/izl9rqdZ","uris":["http://zotero.org/users/3783081/items/K3IU92WS"],"uri":["http://zotero.org/users/3783081/items/K3IU92WS"],"itemData":{"id":6578,"type":"report","title":"Should there be lower taxes on patent income?","page":"44","source":"Zotero","abstract":"A “patent box” is a term for the application of a lower corporate tax rate to the income derived from the ownership of patents. This tax subsidy instrument has been introduced in a number of countries since 2000. Using comprehensive data on patent filings at the European Patent Office, including information on ownership transfers pre‐ and post‐grant, we investigate the impact of the introduction of a patent box on international patent transfers, on the choice of ownership location, and on invention in the relevant country. We find that the impact on transfers is small but present, especially when the tax instrument contains a development condition and for high value patents (those most likely to have generated income), but that invention itself is not affected. This calls into question whether the patent box is an effective instrument for encouraging innovation in a country, rather than simply facilitating the shifting of corporate income to low tax jurisdictions.","URL":"https://papers.ssrn.com/sol3/papers.cfm?abstract_id=3216471","language":"en","author":[{"family":"Gaessler","given":"Fabian"},{"family":"Hall","given":"Bronwyn H"},{"family":"Harhoff","given":"Dietmar"}],"issued":{"date-parts":[["2018"]]}}}],"schema":"https://github.com/citation-style-language/schema/raw/master/csl-citation.json"} </w:instrText>
      </w:r>
      <w:r w:rsidRPr="00B90A24">
        <w:rPr>
          <w:rFonts w:cs="Times New Roman"/>
          <w:sz w:val="28"/>
          <w:szCs w:val="28"/>
        </w:rPr>
        <w:fldChar w:fldCharType="separate"/>
      </w:r>
      <w:r w:rsidR="00B133DE" w:rsidRPr="00B90A24">
        <w:rPr>
          <w:rFonts w:cs="Times New Roman"/>
          <w:sz w:val="28"/>
          <w:szCs w:val="28"/>
        </w:rPr>
        <w:t>(Gaessler et al., 2018)</w:t>
      </w:r>
      <w:r w:rsidRPr="00B90A24">
        <w:rPr>
          <w:rFonts w:cs="Times New Roman"/>
          <w:sz w:val="28"/>
          <w:szCs w:val="28"/>
        </w:rPr>
        <w:fldChar w:fldCharType="end"/>
      </w:r>
      <w:r w:rsidR="00C51FB3" w:rsidRPr="00B90A24">
        <w:rPr>
          <w:rFonts w:cs="Times New Roman"/>
          <w:sz w:val="28"/>
          <w:szCs w:val="28"/>
        </w:rPr>
        <w:t xml:space="preserve">. </w:t>
      </w:r>
    </w:p>
    <w:p w14:paraId="0ED78691" w14:textId="77777777" w:rsidR="00695178" w:rsidRPr="00B90A24" w:rsidRDefault="00695178" w:rsidP="00B90A24">
      <w:pPr>
        <w:spacing w:after="0" w:line="240" w:lineRule="auto"/>
        <w:ind w:left="567" w:right="890"/>
        <w:jc w:val="both"/>
        <w:rPr>
          <w:rFonts w:cs="Times New Roman"/>
          <w:sz w:val="28"/>
          <w:szCs w:val="28"/>
        </w:rPr>
      </w:pPr>
    </w:p>
    <w:p w14:paraId="4AB89F37" w14:textId="330B36AC" w:rsidR="00950F58" w:rsidRPr="00B90A24" w:rsidRDefault="00C51FB3" w:rsidP="00B90A24">
      <w:pPr>
        <w:spacing w:after="0" w:line="240" w:lineRule="auto"/>
        <w:ind w:left="567" w:right="890"/>
        <w:jc w:val="both"/>
        <w:rPr>
          <w:sz w:val="28"/>
          <w:szCs w:val="28"/>
          <w:lang w:eastAsia="en-GB"/>
        </w:rPr>
      </w:pPr>
      <w:r w:rsidRPr="00B90A24">
        <w:rPr>
          <w:rFonts w:cs="Times New Roman"/>
          <w:sz w:val="28"/>
          <w:szCs w:val="28"/>
        </w:rPr>
        <w:t xml:space="preserve">Further, they are not the most effective way to stimulate innovation and research and development </w:t>
      </w:r>
      <w:r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{"citationID":"ftYf2SYE","properties":{"formattedCitation":"(Alstads\\uc0\\u230{}ter et al., 2018)","plainCitation":"(Alstadsæter et al., 2018)","noteIndex":0},"citationItems":[{"id":5574,"uris":["http://zotero.org/groups/997303/items/KSEMHF49"],"uri":["http://zotero.org/groups/997303/items/KSEMHF49"],"itemData":{"id":5574,"type":"article-journal","abstract":"SUMMARY.  Maria Skonieczna, and Antonio Vezzani?&amp;gt;Patent boxes have been heavily debated for their role in corporate tax competition. This paper uses firm-lev","container-title":"Economic Policy","DOI":"10.1093/epolic/eix021","ISSN":"0266-4658","issue":"93","journalAbbreviation":"Econ Policy","language":"en","note":"publisher: Oxford Academic","page":"131-177","source":"academic.oup.com","title":"Patent boxes design, patents location, and local R&amp;D","volume":"33","author":[{"family":"Alstadsæter","given":"Annette"},{"family":"Barrios","given":"Salvador"},{"family":"Nicodeme","given":"Gaetan"},{"family":"Skonieczna","given":"Agnieszka Maria"},{"family":"Vezzani","given":"Antonio"}],"issued":{"date-parts":[["2018",1,1]]}}}],"schema":"https://github.com/citation-style-language/schema/raw/master/csl-citation.json"} </w:instrText>
      </w:r>
      <w:r w:rsidRPr="00B90A24">
        <w:rPr>
          <w:rFonts w:eastAsia="Verdana" w:cs="Verdana"/>
          <w:sz w:val="28"/>
          <w:szCs w:val="28"/>
        </w:rPr>
        <w:fldChar w:fldCharType="separate"/>
      </w:r>
      <w:r w:rsidR="00B133DE" w:rsidRPr="00B90A24">
        <w:rPr>
          <w:rFonts w:cs="Times New Roman"/>
          <w:sz w:val="28"/>
          <w:szCs w:val="28"/>
        </w:rPr>
        <w:t>(Alstadsæter et al., 2018)</w:t>
      </w:r>
      <w:r w:rsidRPr="00B90A24">
        <w:rPr>
          <w:rFonts w:eastAsia="Verdana" w:cs="Verdana"/>
          <w:sz w:val="28"/>
          <w:szCs w:val="28"/>
        </w:rPr>
        <w:fldChar w:fldCharType="end"/>
      </w:r>
      <w:r w:rsidRPr="00B90A24">
        <w:rPr>
          <w:rFonts w:eastAsia="Verdana" w:cs="Verdana"/>
          <w:sz w:val="28"/>
          <w:szCs w:val="28"/>
        </w:rPr>
        <w:t xml:space="preserve">. </w:t>
      </w:r>
      <w:r w:rsidR="00950F58" w:rsidRPr="00B90A24">
        <w:rPr>
          <w:rFonts w:eastAsia="Verdana" w:cs="Verdana"/>
          <w:sz w:val="28"/>
          <w:szCs w:val="28"/>
        </w:rPr>
        <w:t>In fact, it appears that jurisdictions without such patent box regimes have been more successful in attracting and fostering innovative businesses</w:t>
      </w:r>
      <w:r w:rsidRPr="00B90A24">
        <w:rPr>
          <w:rFonts w:eastAsia="Verdana" w:cs="Verdana"/>
          <w:sz w:val="28"/>
          <w:szCs w:val="28"/>
        </w:rPr>
        <w:t xml:space="preserve"> </w:t>
      </w:r>
      <w:r w:rsidR="00950F58" w:rsidRPr="00B90A24">
        <w:rPr>
          <w:sz w:val="28"/>
          <w:szCs w:val="28"/>
        </w:rPr>
        <w:fldChar w:fldCharType="begin"/>
      </w:r>
      <w:r w:rsidR="00B133DE" w:rsidRPr="00B90A24">
        <w:rPr>
          <w:sz w:val="28"/>
          <w:szCs w:val="28"/>
        </w:rPr>
        <w:instrText xml:space="preserve"> ADDIN ZOTERO_ITEM CSL_CITATION {"citationID":"iHFOT3rE","properties":{"formattedCitation":"(CPB Netherlands Bureau for Economic Policy Analysis, 2014)","plainCitation":"(CPB Netherlands Bureau for Economic Policy Analysis, 2014)","noteIndex":0},"citationItems":[{"id":"LppWUde1/zGEhXBfB","uris":["http://zotero.org/users/3783081/items/DECFITYW"],"uri":["http://zotero.org/users/3783081/items/DECFITYW"],"itemData":{"id":6582,"type":"report","title":"A study on R &amp; D tax incentives: final report","collection-title":"Working paper n. 52 – 2014","publisher":"European Commission","publisher-place":"Luxembourg","source":"Open WorldCat","event-place":"Luxembourg","URL":"https://ec.europa.eu/taxation_customs/sites/taxation/files/resources/documents/taxation/gen_info/economic_analysis/tax_papers/taxation_paper_52.pdf","note":"OCLC: 920795774","title-short":"A study on R &amp; D tax incentives","language":"en","author":[{"literal":"CPB Netherlands Bureau for Economic Policy Analysis"}],"issued":{"date-parts":[["2014"]]}}}],"schema":"https://github.com/citation-style-language/schema/raw/master/csl-citation.json"} </w:instrText>
      </w:r>
      <w:r w:rsidR="00950F58" w:rsidRPr="00B90A24">
        <w:rPr>
          <w:sz w:val="28"/>
          <w:szCs w:val="28"/>
        </w:rPr>
        <w:fldChar w:fldCharType="separate"/>
      </w:r>
      <w:r w:rsidR="00B133DE" w:rsidRPr="00B90A24">
        <w:rPr>
          <w:rFonts w:cs="Times New Roman"/>
          <w:sz w:val="28"/>
          <w:szCs w:val="28"/>
        </w:rPr>
        <w:t>(CPB Netherlands Bureau for Economic Policy Analysis, 2014)</w:t>
      </w:r>
      <w:r w:rsidR="00950F58" w:rsidRPr="00B90A24">
        <w:rPr>
          <w:sz w:val="28"/>
          <w:szCs w:val="28"/>
        </w:rPr>
        <w:fldChar w:fldCharType="end"/>
      </w:r>
      <w:r w:rsidRPr="00B90A24">
        <w:rPr>
          <w:sz w:val="28"/>
          <w:szCs w:val="28"/>
        </w:rPr>
        <w:t>.</w:t>
      </w:r>
      <w:r w:rsidR="00783A4C" w:rsidRPr="00B90A24">
        <w:rPr>
          <w:sz w:val="28"/>
          <w:szCs w:val="28"/>
        </w:rPr>
        <w:t xml:space="preserve"> </w:t>
      </w:r>
      <w:r w:rsidRPr="00B90A24">
        <w:rPr>
          <w:rFonts w:eastAsia="Verdana" w:cs="Verdana"/>
          <w:color w:val="000000"/>
          <w:sz w:val="28"/>
          <w:szCs w:val="28"/>
          <w:lang w:eastAsia="en-GB"/>
        </w:rPr>
        <w:t xml:space="preserve">Beyond not having the desired outcomes for stimulating innovation and inventions, they </w:t>
      </w:r>
      <w:r w:rsidR="004B16B0" w:rsidRPr="00B90A24">
        <w:rPr>
          <w:rFonts w:eastAsia="Verdana" w:cs="Verdana"/>
          <w:color w:val="000000"/>
          <w:sz w:val="28"/>
          <w:szCs w:val="28"/>
          <w:lang w:eastAsia="en-GB"/>
        </w:rPr>
        <w:t xml:space="preserve">often </w:t>
      </w:r>
      <w:r w:rsidRPr="00B90A24">
        <w:rPr>
          <w:rFonts w:eastAsia="Verdana" w:cs="Verdana"/>
          <w:color w:val="000000"/>
          <w:sz w:val="28"/>
          <w:szCs w:val="28"/>
          <w:lang w:eastAsia="en-GB"/>
        </w:rPr>
        <w:t>have a deleterious effect</w:t>
      </w:r>
      <w:r w:rsidR="00CB0046" w:rsidRPr="00B90A24">
        <w:rPr>
          <w:rFonts w:eastAsia="Verdana" w:cs="Verdana"/>
          <w:color w:val="000000"/>
          <w:sz w:val="28"/>
          <w:szCs w:val="28"/>
          <w:lang w:eastAsia="en-GB"/>
        </w:rPr>
        <w:t xml:space="preserve"> </w:t>
      </w:r>
      <w:r w:rsidR="004B16B0" w:rsidRPr="00B90A24">
        <w:rPr>
          <w:rFonts w:eastAsia="Verdana" w:cs="Verdana"/>
          <w:color w:val="000000"/>
          <w:sz w:val="28"/>
          <w:szCs w:val="28"/>
          <w:lang w:eastAsia="en-GB"/>
        </w:rPr>
        <w:t xml:space="preserve">even </w:t>
      </w:r>
      <w:r w:rsidR="00CB0046" w:rsidRPr="00B90A24">
        <w:rPr>
          <w:rFonts w:eastAsia="Verdana" w:cs="Verdana"/>
          <w:color w:val="000000"/>
          <w:sz w:val="28"/>
          <w:szCs w:val="28"/>
          <w:lang w:eastAsia="en-GB"/>
        </w:rPr>
        <w:t xml:space="preserve">on </w:t>
      </w:r>
      <w:r w:rsidR="00883811" w:rsidRPr="00B90A24">
        <w:rPr>
          <w:rFonts w:eastAsia="Verdana" w:cs="Verdana"/>
          <w:color w:val="000000"/>
          <w:sz w:val="28"/>
          <w:szCs w:val="28"/>
          <w:lang w:eastAsia="en-GB"/>
        </w:rPr>
        <w:t>the public finances</w:t>
      </w:r>
      <w:r w:rsidR="004B16B0" w:rsidRPr="00B90A24">
        <w:rPr>
          <w:rFonts w:eastAsia="Verdana" w:cs="Verdana"/>
          <w:color w:val="000000"/>
          <w:sz w:val="28"/>
          <w:szCs w:val="28"/>
          <w:lang w:eastAsia="en-GB"/>
        </w:rPr>
        <w:t xml:space="preserve"> of jurisdictions hosting the patent boxes</w:t>
      </w:r>
      <w:r w:rsidRPr="00B90A24">
        <w:rPr>
          <w:rFonts w:eastAsia="Verdana" w:cs="Verdana"/>
          <w:color w:val="000000"/>
          <w:sz w:val="28"/>
          <w:szCs w:val="28"/>
          <w:lang w:eastAsia="en-GB"/>
        </w:rPr>
        <w:t xml:space="preserve">. </w:t>
      </w:r>
      <w:r w:rsidR="00950F58" w:rsidRPr="00B90A24">
        <w:rPr>
          <w:rFonts w:eastAsia="Verdana" w:cs="Verdana"/>
          <w:color w:val="000000"/>
          <w:sz w:val="28"/>
          <w:szCs w:val="28"/>
          <w:lang w:eastAsia="en-GB"/>
        </w:rPr>
        <w:t>For example, i</w:t>
      </w:r>
      <w:r w:rsidR="00950F58" w:rsidRPr="00B90A24">
        <w:rPr>
          <w:rFonts w:eastAsia="Verdana" w:cs="Verdana"/>
          <w:sz w:val="28"/>
          <w:szCs w:val="28"/>
        </w:rPr>
        <w:t>n 2015, the Dutch government found that its innovation box resulted in a tax loss of €361m to the Netherlands in 2010. In 2012, this sum was almost double, increasing to €743m</w:t>
      </w:r>
      <w:r w:rsidR="00CB0046" w:rsidRPr="00B90A24">
        <w:rPr>
          <w:rFonts w:eastAsia="Verdana" w:cs="Verdana"/>
          <w:sz w:val="28"/>
          <w:szCs w:val="28"/>
        </w:rPr>
        <w:t xml:space="preserve"> </w:t>
      </w:r>
      <w:r w:rsidR="00CB0046"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{"citationID":"hKM9sBLj","properties":{"formattedCitation":"(Berkhout, 2016)","plainCitation":"(Berkhout, 2016)","noteIndex":0},"citationItems":[{"id":4130,"uris":["http://zotero.org/groups/997303/items/N8Q8Y89D"],"uri":["http://zotero.org/groups/997303/items/N8Q8Y89D"],"itemData":{"id":4130,"type":"report","language":"en","page":"46","publisher":"Oxfam Policy Paper","source":"Zotero","title":"Tax Battles: The dangerous global race to the bottom on corporate tax","URL":"https://www.oxfam.org/sites/www.oxfam.org/files/bp-race-to-bottom-corporate-tax-121216-en.pdf","author":[{"family":"Berkhout","given":"Esmé"}],"issued":{"date-parts":[["2016",12]]}}}],"schema":"https://github.com/citation-style-language/schema/raw/master/csl-citation.json"} </w:instrText>
      </w:r>
      <w:r w:rsidR="00CB0046" w:rsidRPr="00B90A24">
        <w:rPr>
          <w:rFonts w:eastAsia="Verdana" w:cs="Verdana"/>
          <w:sz w:val="28"/>
          <w:szCs w:val="28"/>
        </w:rPr>
        <w:fldChar w:fldCharType="separate"/>
      </w:r>
      <w:r w:rsidR="00B133DE" w:rsidRPr="00B90A24">
        <w:rPr>
          <w:rFonts w:cs="Times New Roman"/>
          <w:sz w:val="28"/>
          <w:szCs w:val="28"/>
        </w:rPr>
        <w:t>(Berkhout, 2016)</w:t>
      </w:r>
      <w:r w:rsidR="00CB0046" w:rsidRPr="00B90A24">
        <w:rPr>
          <w:rFonts w:eastAsia="Verdana" w:cs="Verdana"/>
          <w:sz w:val="28"/>
          <w:szCs w:val="28"/>
        </w:rPr>
        <w:fldChar w:fldCharType="end"/>
      </w:r>
      <w:r w:rsidR="00950F58" w:rsidRPr="00B90A24">
        <w:rPr>
          <w:rFonts w:eastAsia="Verdana" w:cs="Verdana"/>
          <w:sz w:val="28"/>
          <w:szCs w:val="28"/>
        </w:rPr>
        <w:t>.</w:t>
      </w:r>
      <w:r w:rsidR="00CB0046" w:rsidRPr="00B90A24">
        <w:rPr>
          <w:rFonts w:eastAsia="Verdana" w:cs="Verdana"/>
          <w:sz w:val="28"/>
          <w:szCs w:val="28"/>
        </w:rPr>
        <w:t xml:space="preserve"> A</w:t>
      </w:r>
      <w:r w:rsidR="00950F58" w:rsidRPr="00B90A24">
        <w:rPr>
          <w:rFonts w:eastAsia="Verdana" w:cs="Verdana"/>
          <w:sz w:val="28"/>
          <w:szCs w:val="28"/>
        </w:rPr>
        <w:t xml:space="preserve"> report published by the Centre for European Economic Research in 2013 </w:t>
      </w:r>
      <w:r w:rsidR="00CB0046" w:rsidRPr="00B90A24">
        <w:rPr>
          <w:rFonts w:eastAsia="Verdana" w:cs="Verdana"/>
          <w:sz w:val="28"/>
          <w:szCs w:val="28"/>
        </w:rPr>
        <w:t>further confirmed that the “[e]</w:t>
      </w:r>
      <w:r w:rsidR="00950F58" w:rsidRPr="00B90A24">
        <w:rPr>
          <w:rFonts w:eastAsia="Verdana" w:cs="Verdana"/>
          <w:sz w:val="28"/>
          <w:szCs w:val="28"/>
        </w:rPr>
        <w:t xml:space="preserve">mpirical evidence that simulates the Benelux and UK IP </w:t>
      </w:r>
      <w:r w:rsidR="008249CD" w:rsidRPr="00B90A24">
        <w:rPr>
          <w:rFonts w:eastAsia="Verdana" w:cs="Verdana"/>
          <w:sz w:val="28"/>
          <w:szCs w:val="28"/>
        </w:rPr>
        <w:t xml:space="preserve">[intellectual property] </w:t>
      </w:r>
      <w:r w:rsidR="00950F58" w:rsidRPr="00B90A24">
        <w:rPr>
          <w:rFonts w:eastAsia="Verdana" w:cs="Verdana"/>
          <w:sz w:val="28"/>
          <w:szCs w:val="28"/>
        </w:rPr>
        <w:t>Boxes finds that the increase in IP income locating in the countries is insufficient to outweigh the lower tax rate</w:t>
      </w:r>
      <w:r w:rsidR="00CB0046" w:rsidRPr="00B90A24">
        <w:rPr>
          <w:rFonts w:eastAsia="Verdana" w:cs="Verdana"/>
          <w:sz w:val="28"/>
          <w:szCs w:val="28"/>
        </w:rPr>
        <w:t>”</w:t>
      </w:r>
      <w:r w:rsidR="00950F58" w:rsidRPr="00B90A24">
        <w:rPr>
          <w:sz w:val="28"/>
          <w:szCs w:val="28"/>
        </w:rPr>
        <w:fldChar w:fldCharType="begin"/>
      </w:r>
      <w:r w:rsidR="00B133DE" w:rsidRPr="00B90A24">
        <w:rPr>
          <w:sz w:val="28"/>
          <w:szCs w:val="28"/>
        </w:rPr>
        <w:instrText xml:space="preserve"> ADDIN ZOTERO_ITEM CSL_CITATION {"citationID":"dIPyDuaI","properties":{"formattedCitation":"(Centre for European Economic Research, 2013, pp. 38\\uc0\\u8211{}39)","plainCitation":"(Centre for European Economic Research, 2013, pp. 38–39)","dontUpdate":true,"noteIndex":0},"citationItems":[{"id":"LppWUde1/Rq9K8Acz","uris":["http://zotero.org/users/3783081/items/523MMJ7Z"],"uri":["http://zotero.org/users/3783081/items/523MMJ7Z"],"itemData":{"id":5979,"type":"report","title":"Intellectual Property Box Regimes: Effective Tax Rates and Tax Policy Considerations","URL":"ftp://ftp.zew.de/pub/zew-docs/dp/dp13070.pdf","number":"Discussion Paper No. 13-070","author":[{"family":"Centre for European Economic Research","given":"ZEW"}],"issued":{"date-parts":[["2013",11]]}},"locator":"38-39"}],"schema":"https://github.com/citation-style-language/schema/raw/master/csl-citation.json"} </w:instrText>
      </w:r>
      <w:r w:rsidR="00950F58" w:rsidRPr="00B90A24">
        <w:rPr>
          <w:sz w:val="28"/>
          <w:szCs w:val="28"/>
        </w:rPr>
        <w:fldChar w:fldCharType="separate"/>
      </w:r>
      <w:r w:rsidR="00950F58" w:rsidRPr="00B90A24">
        <w:rPr>
          <w:rFonts w:cs="Times New Roman"/>
          <w:sz w:val="28"/>
          <w:szCs w:val="28"/>
        </w:rPr>
        <w:t xml:space="preserve"> </w:t>
      </w:r>
      <w:r w:rsidR="00CB0046" w:rsidRPr="00B90A24">
        <w:rPr>
          <w:rFonts w:cs="Times New Roman"/>
          <w:sz w:val="28"/>
          <w:szCs w:val="28"/>
        </w:rPr>
        <w:t>(</w:t>
      </w:r>
      <w:r w:rsidR="00950F58" w:rsidRPr="00B90A24">
        <w:rPr>
          <w:rFonts w:cs="Times New Roman"/>
          <w:sz w:val="28"/>
          <w:szCs w:val="28"/>
        </w:rPr>
        <w:t>pp. 38–39)</w:t>
      </w:r>
      <w:r w:rsidR="00950F58" w:rsidRPr="00B90A24">
        <w:rPr>
          <w:sz w:val="28"/>
          <w:szCs w:val="28"/>
        </w:rPr>
        <w:fldChar w:fldCharType="end"/>
      </w:r>
      <w:r w:rsidRPr="00B90A24">
        <w:rPr>
          <w:sz w:val="28"/>
          <w:szCs w:val="28"/>
        </w:rPr>
        <w:t>.</w:t>
      </w:r>
    </w:p>
    <w:p w14:paraId="0CA37F5F" w14:textId="77777777" w:rsidR="00783A4C" w:rsidRPr="00B90A24" w:rsidRDefault="00783A4C" w:rsidP="00B90A24">
      <w:pPr>
        <w:spacing w:after="0" w:line="240" w:lineRule="auto"/>
        <w:ind w:left="567" w:right="890"/>
        <w:jc w:val="both"/>
        <w:rPr>
          <w:sz w:val="28"/>
          <w:szCs w:val="28"/>
        </w:rPr>
      </w:pPr>
    </w:p>
    <w:p w14:paraId="2DCA87C4" w14:textId="6512B5D6" w:rsidR="0092686E" w:rsidRPr="00B90A24" w:rsidRDefault="00A2520C" w:rsidP="00B90A24">
      <w:pPr>
        <w:spacing w:after="0" w:line="240" w:lineRule="auto"/>
        <w:ind w:left="567" w:right="890"/>
        <w:jc w:val="both"/>
        <w:rPr>
          <w:rFonts w:eastAsia="Verdana" w:cs="Verdana"/>
          <w:sz w:val="28"/>
          <w:szCs w:val="28"/>
          <w:lang w:eastAsia="en-GB"/>
        </w:rPr>
      </w:pPr>
      <w:r w:rsidRPr="00B90A24">
        <w:rPr>
          <w:rFonts w:eastAsia="Verdana" w:cs="Verdana"/>
          <w:sz w:val="28"/>
          <w:szCs w:val="28"/>
        </w:rPr>
        <w:t xml:space="preserve">In order to </w:t>
      </w:r>
      <w:r w:rsidR="000D6DE2" w:rsidRPr="00B90A24">
        <w:rPr>
          <w:rFonts w:eastAsia="Verdana" w:cs="Verdana"/>
          <w:sz w:val="28"/>
          <w:szCs w:val="28"/>
        </w:rPr>
        <w:t xml:space="preserve">mitigate </w:t>
      </w:r>
      <w:r w:rsidRPr="00B90A24">
        <w:rPr>
          <w:rFonts w:eastAsia="Verdana" w:cs="Verdana"/>
          <w:sz w:val="28"/>
          <w:szCs w:val="28"/>
        </w:rPr>
        <w:t xml:space="preserve">spillover risks to other </w:t>
      </w:r>
      <w:r w:rsidR="000D6DE2" w:rsidRPr="00B90A24">
        <w:rPr>
          <w:rFonts w:eastAsia="Verdana" w:cs="Verdana"/>
          <w:sz w:val="28"/>
          <w:szCs w:val="28"/>
        </w:rPr>
        <w:t>jurisdiction’s tax bases</w:t>
      </w:r>
      <w:r w:rsidR="002950DB" w:rsidRPr="00B90A24">
        <w:rPr>
          <w:rFonts w:eastAsia="Verdana" w:cs="Verdana"/>
          <w:sz w:val="28"/>
          <w:szCs w:val="28"/>
        </w:rPr>
        <w:t xml:space="preserve"> emanating from patent box regimes</w:t>
      </w:r>
      <w:r w:rsidR="000D6DE2" w:rsidRPr="00B90A24">
        <w:rPr>
          <w:rFonts w:eastAsia="Verdana" w:cs="Verdana"/>
          <w:sz w:val="28"/>
          <w:szCs w:val="28"/>
        </w:rPr>
        <w:t xml:space="preserve">, the OECD </w:t>
      </w:r>
      <w:r w:rsidR="008F2ADB" w:rsidRPr="00B90A24">
        <w:rPr>
          <w:rFonts w:eastAsia="Verdana" w:cs="Verdana"/>
          <w:sz w:val="28"/>
          <w:szCs w:val="28"/>
        </w:rPr>
        <w:t xml:space="preserve">and G20 </w:t>
      </w:r>
      <w:r w:rsidR="000D6DE2" w:rsidRPr="00B90A24">
        <w:rPr>
          <w:rFonts w:eastAsia="Verdana" w:cs="Verdana"/>
          <w:sz w:val="28"/>
          <w:szCs w:val="28"/>
        </w:rPr>
        <w:t xml:space="preserve">adopted </w:t>
      </w:r>
      <w:r w:rsidR="008F2ADB" w:rsidRPr="00B90A24">
        <w:rPr>
          <w:rFonts w:eastAsia="Verdana" w:cs="Verdana"/>
          <w:sz w:val="28"/>
          <w:szCs w:val="28"/>
        </w:rPr>
        <w:t xml:space="preserve">a </w:t>
      </w:r>
      <w:r w:rsidR="000D6DE2" w:rsidRPr="00B90A24">
        <w:rPr>
          <w:rFonts w:eastAsia="Verdana" w:cs="Verdana"/>
          <w:sz w:val="28"/>
          <w:szCs w:val="28"/>
        </w:rPr>
        <w:t>so-called modified nexus approach for differentiating harmful and legitimate patent box regimes</w:t>
      </w:r>
      <w:r w:rsidR="002950DB" w:rsidRPr="00B90A24">
        <w:rPr>
          <w:rFonts w:eastAsia="Verdana" w:cs="Verdana"/>
          <w:sz w:val="28"/>
          <w:szCs w:val="28"/>
        </w:rPr>
        <w:t>. The condition for a legitimate use of patent boxes is that</w:t>
      </w:r>
      <w:r w:rsidR="000C6FA2" w:rsidRPr="00B90A24">
        <w:rPr>
          <w:rFonts w:eastAsia="Verdana" w:cs="Verdana"/>
          <w:sz w:val="28"/>
          <w:szCs w:val="28"/>
        </w:rPr>
        <w:t xml:space="preserve"> substantial activities </w:t>
      </w:r>
      <w:r w:rsidR="002950DB" w:rsidRPr="00B90A24">
        <w:rPr>
          <w:rFonts w:eastAsia="Verdana" w:cs="Verdana"/>
          <w:sz w:val="28"/>
          <w:szCs w:val="28"/>
        </w:rPr>
        <w:t xml:space="preserve">are </w:t>
      </w:r>
      <w:r w:rsidR="00BF015E" w:rsidRPr="00B90A24">
        <w:rPr>
          <w:rFonts w:eastAsia="Verdana" w:cs="Verdana"/>
          <w:sz w:val="28"/>
          <w:szCs w:val="28"/>
        </w:rPr>
        <w:t xml:space="preserve">tied to the development of the </w:t>
      </w:r>
      <w:r w:rsidR="002950DB" w:rsidRPr="00B90A24">
        <w:rPr>
          <w:rFonts w:eastAsia="Verdana" w:cs="Verdana"/>
          <w:sz w:val="28"/>
          <w:szCs w:val="28"/>
        </w:rPr>
        <w:t>intellectual property</w:t>
      </w:r>
      <w:r w:rsidR="00BF015E" w:rsidRPr="00B90A24">
        <w:rPr>
          <w:rFonts w:eastAsia="Verdana" w:cs="Verdana"/>
          <w:sz w:val="28"/>
          <w:szCs w:val="28"/>
        </w:rPr>
        <w:t xml:space="preserve"> </w:t>
      </w:r>
      <w:r w:rsidR="0079562E"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{"citationID":"a1cakg91kbq","properties":{"formattedCitation":"(OECD, 2015b)","plainCitation":"(OECD, 2015b)","noteIndex":0},"citationItems":[{"id":5577,"uris":["http://zotero.org/groups/997303/items/3CS3RQP2"],"uri":["http://zotero.org/groups/997303/items/3CS3RQP2"],"itemData":{"id":5577,"type":"report","title":"Explanatory paper: Agreement on Modified Nexus Approach for IP Regimes","URL":"https://www.oecd.org/ctp/explanatory-paper-beps-action-5-agreement-on-modified-nexus-approach-for-ip-regimes.pdf","author":[{"family":"OECD","given":""}],"accessed":{"date-parts":[["2020",4,3]]},"issued":{"date-parts":[["2015"]]}}}],"schema":"https://github.com/citation-style-language/schema/raw/master/csl-citation.json"} </w:instrText>
      </w:r>
      <w:r w:rsidR="0079562E" w:rsidRPr="00B90A24">
        <w:rPr>
          <w:rFonts w:eastAsia="Verdana" w:cs="Verdana"/>
          <w:sz w:val="28"/>
          <w:szCs w:val="28"/>
        </w:rPr>
        <w:fldChar w:fldCharType="separate"/>
      </w:r>
      <w:r w:rsidR="00B133DE" w:rsidRPr="00B90A24">
        <w:rPr>
          <w:rFonts w:cs="Times New Roman"/>
          <w:sz w:val="28"/>
          <w:szCs w:val="28"/>
        </w:rPr>
        <w:t>(OECD, 2015b)</w:t>
      </w:r>
      <w:r w:rsidR="0079562E" w:rsidRPr="00B90A24">
        <w:rPr>
          <w:rFonts w:eastAsia="Verdana" w:cs="Verdana"/>
          <w:sz w:val="28"/>
          <w:szCs w:val="28"/>
        </w:rPr>
        <w:fldChar w:fldCharType="end"/>
      </w:r>
      <w:r w:rsidR="000D6DE2" w:rsidRPr="00B90A24">
        <w:rPr>
          <w:rFonts w:eastAsia="Verdana" w:cs="Verdana"/>
          <w:sz w:val="28"/>
          <w:szCs w:val="28"/>
        </w:rPr>
        <w:t xml:space="preserve">. </w:t>
      </w:r>
      <w:r w:rsidR="009756D8" w:rsidRPr="00B90A24">
        <w:rPr>
          <w:rFonts w:eastAsia="Verdana" w:cs="Verdana"/>
          <w:sz w:val="28"/>
          <w:szCs w:val="28"/>
        </w:rPr>
        <w:t xml:space="preserve">The </w:t>
      </w:r>
      <w:r w:rsidR="00981F83" w:rsidRPr="00B90A24">
        <w:rPr>
          <w:rFonts w:eastAsia="Verdana" w:cs="Verdana"/>
          <w:sz w:val="28"/>
          <w:szCs w:val="28"/>
        </w:rPr>
        <w:t xml:space="preserve">qualifying </w:t>
      </w:r>
      <w:r w:rsidR="002950DB" w:rsidRPr="00B90A24">
        <w:rPr>
          <w:rFonts w:eastAsia="Verdana" w:cs="Verdana"/>
          <w:sz w:val="28"/>
          <w:szCs w:val="28"/>
        </w:rPr>
        <w:t>intellectual property</w:t>
      </w:r>
      <w:r w:rsidR="009756D8" w:rsidRPr="00B90A24">
        <w:rPr>
          <w:rFonts w:eastAsia="Verdana" w:cs="Verdana"/>
          <w:sz w:val="28"/>
          <w:szCs w:val="28"/>
        </w:rPr>
        <w:t xml:space="preserve"> </w:t>
      </w:r>
      <w:r w:rsidR="00981F83" w:rsidRPr="00B90A24">
        <w:rPr>
          <w:rFonts w:eastAsia="Verdana" w:cs="Verdana"/>
          <w:sz w:val="28"/>
          <w:szCs w:val="28"/>
        </w:rPr>
        <w:t xml:space="preserve">assets under the modified nexus </w:t>
      </w:r>
      <w:r w:rsidR="00354E25" w:rsidRPr="00B90A24">
        <w:rPr>
          <w:rFonts w:eastAsia="Verdana" w:cs="Verdana"/>
          <w:sz w:val="28"/>
          <w:szCs w:val="28"/>
        </w:rPr>
        <w:t xml:space="preserve">rules </w:t>
      </w:r>
      <w:r w:rsidR="00D707FA" w:rsidRPr="00B90A24">
        <w:rPr>
          <w:rFonts w:eastAsia="Verdana" w:cs="Verdana"/>
          <w:sz w:val="28"/>
          <w:szCs w:val="28"/>
        </w:rPr>
        <w:t xml:space="preserve">are limited to </w:t>
      </w:r>
      <w:r w:rsidR="00274B6F" w:rsidRPr="00B90A24">
        <w:rPr>
          <w:rFonts w:eastAsia="Verdana" w:cs="Verdana"/>
          <w:sz w:val="28"/>
          <w:szCs w:val="28"/>
        </w:rPr>
        <w:t>patents and</w:t>
      </w:r>
      <w:r w:rsidR="002950DB" w:rsidRPr="00B90A24">
        <w:rPr>
          <w:rFonts w:eastAsia="Verdana" w:cs="Verdana"/>
          <w:sz w:val="28"/>
          <w:szCs w:val="28"/>
        </w:rPr>
        <w:t xml:space="preserve"> to</w:t>
      </w:r>
      <w:r w:rsidR="00274B6F" w:rsidRPr="00B90A24">
        <w:rPr>
          <w:rFonts w:eastAsia="Verdana" w:cs="Verdana"/>
          <w:sz w:val="28"/>
          <w:szCs w:val="28"/>
        </w:rPr>
        <w:t xml:space="preserve"> </w:t>
      </w:r>
      <w:r w:rsidR="00213121" w:rsidRPr="00B90A24">
        <w:rPr>
          <w:rFonts w:eastAsia="Verdana" w:cs="Verdana"/>
          <w:sz w:val="28"/>
          <w:szCs w:val="28"/>
        </w:rPr>
        <w:t xml:space="preserve">functionally equivalent and legally protected </w:t>
      </w:r>
      <w:r w:rsidR="002950DB" w:rsidRPr="00B90A24">
        <w:rPr>
          <w:rFonts w:eastAsia="Verdana" w:cs="Verdana"/>
          <w:sz w:val="28"/>
          <w:szCs w:val="28"/>
        </w:rPr>
        <w:t>intellectual property</w:t>
      </w:r>
      <w:r w:rsidR="00274B6F" w:rsidRPr="00B90A24">
        <w:rPr>
          <w:rFonts w:eastAsia="Verdana" w:cs="Verdana"/>
          <w:sz w:val="28"/>
          <w:szCs w:val="28"/>
        </w:rPr>
        <w:t xml:space="preserve"> rights</w:t>
      </w:r>
      <w:r w:rsidR="009914FF" w:rsidRPr="00B90A24">
        <w:rPr>
          <w:rFonts w:eastAsia="Verdana" w:cs="Verdana"/>
          <w:sz w:val="28"/>
          <w:szCs w:val="28"/>
        </w:rPr>
        <w:t>,</w:t>
      </w:r>
      <w:r w:rsidR="00274B6F" w:rsidRPr="00B90A24">
        <w:rPr>
          <w:rFonts w:eastAsia="Verdana" w:cs="Verdana"/>
          <w:sz w:val="28"/>
          <w:szCs w:val="28"/>
        </w:rPr>
        <w:t xml:space="preserve"> such as </w:t>
      </w:r>
      <w:r w:rsidR="004A3101" w:rsidRPr="00B90A24">
        <w:rPr>
          <w:rFonts w:eastAsia="Verdana" w:cs="Verdana"/>
          <w:sz w:val="28"/>
          <w:szCs w:val="28"/>
        </w:rPr>
        <w:t>software copyrights. Brands and trademarks</w:t>
      </w:r>
      <w:r w:rsidR="002D33CC" w:rsidRPr="00B90A24">
        <w:rPr>
          <w:rFonts w:eastAsia="Verdana" w:cs="Verdana"/>
          <w:sz w:val="28"/>
          <w:szCs w:val="28"/>
        </w:rPr>
        <w:t xml:space="preserve"> count as </w:t>
      </w:r>
      <w:r w:rsidR="00D353BF" w:rsidRPr="00B90A24">
        <w:rPr>
          <w:rFonts w:eastAsia="Verdana" w:cs="Verdana"/>
          <w:sz w:val="28"/>
          <w:szCs w:val="28"/>
        </w:rPr>
        <w:t>“</w:t>
      </w:r>
      <w:r w:rsidR="004A3101" w:rsidRPr="00B90A24">
        <w:rPr>
          <w:rFonts w:eastAsia="Verdana" w:cs="Verdana"/>
          <w:sz w:val="28"/>
          <w:szCs w:val="28"/>
        </w:rPr>
        <w:t>marketing intangibles</w:t>
      </w:r>
      <w:r w:rsidR="00D353BF" w:rsidRPr="00B90A24">
        <w:rPr>
          <w:rFonts w:eastAsia="Verdana" w:cs="Verdana"/>
          <w:sz w:val="28"/>
          <w:szCs w:val="28"/>
        </w:rPr>
        <w:t>”</w:t>
      </w:r>
      <w:r w:rsidR="002D33CC" w:rsidRPr="00B90A24">
        <w:rPr>
          <w:rFonts w:eastAsia="Verdana" w:cs="Verdana"/>
          <w:sz w:val="28"/>
          <w:szCs w:val="28"/>
        </w:rPr>
        <w:t xml:space="preserve"> and</w:t>
      </w:r>
      <w:r w:rsidR="004A3101" w:rsidRPr="00B90A24">
        <w:rPr>
          <w:rFonts w:eastAsia="Verdana" w:cs="Verdana"/>
          <w:sz w:val="28"/>
          <w:szCs w:val="28"/>
        </w:rPr>
        <w:t xml:space="preserve"> </w:t>
      </w:r>
      <w:r w:rsidR="00DD6A2A" w:rsidRPr="00B90A24">
        <w:rPr>
          <w:rFonts w:eastAsia="Verdana" w:cs="Verdana"/>
          <w:sz w:val="28"/>
          <w:szCs w:val="28"/>
        </w:rPr>
        <w:t>are excluded from receiving patent box benefits under the rules</w:t>
      </w:r>
      <w:r w:rsidR="002D33CC" w:rsidRPr="00B90A24">
        <w:rPr>
          <w:rFonts w:eastAsia="Verdana" w:cs="Verdana"/>
          <w:sz w:val="28"/>
          <w:szCs w:val="28"/>
        </w:rPr>
        <w:t xml:space="preserve"> </w:t>
      </w:r>
      <w:r w:rsidR="002D33CC"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{"citationID":"a256ef17u7c","properties":{"formattedCitation":"(OECD, 2015a)","plainCitation":"(OECD, 2015a)","noteIndex":0},"citationItems":[{"id":5895,"uris":["http://zotero.org/groups/997303/items/9WN5JLWW"],"uri":["http://zotero.org/groups/997303/items/9WN5JLWW"],"itemData":{"id":5895,"type":"report","event-place":"Paris","publisher":"OECD","publisher-place":"Paris","title":"Action 5: Agreement on Modified Nexus Approach for IP Regimes","URL":"http://www.oecd.org/ctp/beps-action-5-agreement-on-modified-nexus-approach-for-ip-regimes.pdf","author":[{"family":"OECD","given":""}],"accessed":{"date-parts":[["2020",6,10]]},"issued":{"date-parts":[["2015"]]}}}],"schema":"https://github.com/citation-style-language/schema/raw/master/csl-citation.json"} </w:instrText>
      </w:r>
      <w:r w:rsidR="002D33CC" w:rsidRPr="00B90A24">
        <w:rPr>
          <w:rFonts w:eastAsia="Verdana" w:cs="Verdana"/>
          <w:sz w:val="28"/>
          <w:szCs w:val="28"/>
        </w:rPr>
        <w:fldChar w:fldCharType="separate"/>
      </w:r>
      <w:r w:rsidR="00B133DE" w:rsidRPr="00B90A24">
        <w:rPr>
          <w:rFonts w:cs="Times New Roman"/>
          <w:sz w:val="28"/>
          <w:szCs w:val="28"/>
        </w:rPr>
        <w:t>(OECD, 2015a)</w:t>
      </w:r>
      <w:r w:rsidR="002D33CC" w:rsidRPr="00B90A24">
        <w:rPr>
          <w:rFonts w:eastAsia="Verdana" w:cs="Verdana"/>
          <w:sz w:val="28"/>
          <w:szCs w:val="28"/>
        </w:rPr>
        <w:fldChar w:fldCharType="end"/>
      </w:r>
      <w:r w:rsidR="00DD6A2A" w:rsidRPr="00B90A24">
        <w:rPr>
          <w:rFonts w:eastAsia="Verdana" w:cs="Verdana"/>
          <w:sz w:val="28"/>
          <w:szCs w:val="28"/>
        </w:rPr>
        <w:t xml:space="preserve">. </w:t>
      </w:r>
      <w:r w:rsidR="00BA4F31" w:rsidRPr="00B90A24">
        <w:rPr>
          <w:rFonts w:eastAsia="Verdana" w:cs="Verdana"/>
          <w:sz w:val="28"/>
          <w:szCs w:val="28"/>
        </w:rPr>
        <w:t xml:space="preserve">The rules </w:t>
      </w:r>
      <w:r w:rsidR="00950F58" w:rsidRPr="00B90A24">
        <w:rPr>
          <w:rFonts w:eastAsia="Verdana" w:cs="Verdana"/>
          <w:sz w:val="28"/>
          <w:szCs w:val="28"/>
          <w:lang w:eastAsia="en-GB"/>
        </w:rPr>
        <w:t xml:space="preserve">require a link between the income benefiting from the intellectual property </w:t>
      </w:r>
      <w:r w:rsidR="009F4CCA" w:rsidRPr="00B90A24">
        <w:rPr>
          <w:rFonts w:eastAsia="Verdana" w:cs="Verdana"/>
          <w:sz w:val="28"/>
          <w:szCs w:val="28"/>
          <w:lang w:eastAsia="en-GB"/>
        </w:rPr>
        <w:t xml:space="preserve">tax </w:t>
      </w:r>
      <w:r w:rsidR="005A5B1E" w:rsidRPr="00B90A24">
        <w:rPr>
          <w:rFonts w:eastAsia="Verdana" w:cs="Verdana"/>
          <w:sz w:val="28"/>
          <w:szCs w:val="28"/>
          <w:lang w:eastAsia="en-GB"/>
        </w:rPr>
        <w:t xml:space="preserve">regime </w:t>
      </w:r>
      <w:r w:rsidR="00950F58" w:rsidRPr="00B90A24">
        <w:rPr>
          <w:rFonts w:eastAsia="Verdana" w:cs="Verdana"/>
          <w:sz w:val="28"/>
          <w:szCs w:val="28"/>
          <w:lang w:eastAsia="en-GB"/>
        </w:rPr>
        <w:t>and the underlying research and development activities that generate the intellectual property</w:t>
      </w:r>
      <w:r w:rsidR="000236FC" w:rsidRPr="00B90A24">
        <w:rPr>
          <w:rFonts w:eastAsia="Verdana" w:cs="Verdana"/>
          <w:sz w:val="28"/>
          <w:szCs w:val="28"/>
          <w:lang w:eastAsia="en-GB"/>
        </w:rPr>
        <w:t xml:space="preserve"> </w:t>
      </w:r>
      <w:r w:rsidR="000236FC" w:rsidRPr="00B90A24">
        <w:rPr>
          <w:rFonts w:eastAsia="Verdana" w:cs="Verdana"/>
          <w:sz w:val="28"/>
          <w:szCs w:val="28"/>
          <w:lang w:eastAsia="en-GB"/>
        </w:rPr>
        <w:fldChar w:fldCharType="begin"/>
      </w:r>
      <w:r w:rsidR="00500851" w:rsidRPr="00B90A24">
        <w:rPr>
          <w:rFonts w:eastAsia="Verdana" w:cs="Verdana"/>
          <w:sz w:val="28"/>
          <w:szCs w:val="28"/>
          <w:lang w:eastAsia="en-GB"/>
        </w:rPr>
        <w:instrText xml:space="preserve"> ADDIN ZOTERO_ITEM CSL_CITATION {"citationID":"uL4A8Xul","properties":{"formattedCitation":"(Cobham, 2015)","plainCitation":"(Cobham, 2015)","dontUpdate":true,"noteIndex":0},"citationItems":[{"id":4280,"uris":["http://zotero.org/groups/997303/items/UUIFH335"],"uri":["http://zotero.org/groups/997303/items/UUIFH335"],"itemData":{"id":4280,"type":"post-weblog","container-title":"Tax Justice Network","language":"en-GB","title":"Will the patent box break BEPS?","URL":"https://www.taxjustice.net/2015/07/20/will-the-patent-box-break-beps/, https://www.taxjustice.net/2015/07/20/will-the-patent-box-break-beps/","author":[{"family":"Cobham","given":"Alex"}],"accessed":{"date-parts":[["2019",6,6]]},"issued":{"date-parts":[["2015",7,20]]}}}],"schema":"https://github.com/citation-style-language/schema/raw/master/csl-citation.json"} </w:instrText>
      </w:r>
      <w:r w:rsidR="000236FC" w:rsidRPr="00B90A24">
        <w:rPr>
          <w:rFonts w:eastAsia="Verdana" w:cs="Verdana"/>
          <w:sz w:val="28"/>
          <w:szCs w:val="28"/>
          <w:lang w:eastAsia="en-GB"/>
        </w:rPr>
        <w:fldChar w:fldCharType="separate"/>
      </w:r>
      <w:r w:rsidR="000236FC" w:rsidRPr="00B90A24">
        <w:rPr>
          <w:rFonts w:cs="Times New Roman"/>
          <w:sz w:val="28"/>
          <w:szCs w:val="28"/>
        </w:rPr>
        <w:t>(Cobham, 2015</w:t>
      </w:r>
      <w:r w:rsidR="000236FC" w:rsidRPr="00B90A24">
        <w:rPr>
          <w:rFonts w:eastAsia="Verdana" w:cs="Verdana"/>
          <w:sz w:val="28"/>
          <w:szCs w:val="28"/>
          <w:lang w:eastAsia="en-GB"/>
        </w:rPr>
        <w:fldChar w:fldCharType="end"/>
      </w:r>
      <w:r w:rsidR="004504D5" w:rsidRPr="00B90A24">
        <w:rPr>
          <w:rFonts w:eastAsia="Verdana" w:cs="Verdana"/>
          <w:sz w:val="28"/>
          <w:szCs w:val="28"/>
          <w:lang w:eastAsia="en-GB"/>
        </w:rPr>
        <w:t xml:space="preserve">; </w:t>
      </w:r>
      <w:r w:rsidR="003D1B06" w:rsidRPr="00B90A24">
        <w:rPr>
          <w:rFonts w:eastAsia="Verdana" w:cs="Verdana"/>
          <w:sz w:val="28"/>
          <w:szCs w:val="28"/>
          <w:shd w:val="clear" w:color="auto" w:fill="FFFFFF"/>
        </w:rPr>
        <w:fldChar w:fldCharType="begin"/>
      </w:r>
      <w:r w:rsidR="00500851" w:rsidRPr="00B90A24">
        <w:rPr>
          <w:rFonts w:eastAsia="Verdana" w:cs="Verdana"/>
          <w:sz w:val="28"/>
          <w:szCs w:val="28"/>
          <w:shd w:val="clear" w:color="auto" w:fill="FFFFFF"/>
        </w:rPr>
        <w:instrText xml:space="preserve"> ADDIN ZOTERO_ITEM CSL_CITATION {"citationID":"XOYvC4rN","properties":{"formattedCitation":"(OECD, 2015a)","plainCitation":"(OECD, 2015a)","dontUpdate":true,"noteIndex":0},"citationItems":[{"id":5577,"uris":["http://zotero.org/groups/997303/items/3CS3RQP2"],"uri":["http://zotero.org/groups/997303/items/3CS3RQP2"],"itemData":{"id":5577,"type":"report","title":"Explanatory paper: Agreement on Modified Nexus Approach for IP Regimes","URL":"https://www.oecd.org/ctp/explanatory-paper-beps-action-5-agreement-on-modified-nexus-approach-for-ip-regimes.pdf","author":[{"family":"OECD","given":""}],"accessed":{"date-parts":[["2020",4,3]]},"issued":{"date-parts":[["2015"]]}}}],"schema":"https://github.com/citation-style-language/schema/raw/master/csl-citation.json"} </w:instrText>
      </w:r>
      <w:r w:rsidR="003D1B06" w:rsidRPr="00B90A24">
        <w:rPr>
          <w:rFonts w:eastAsia="Verdana" w:cs="Verdana"/>
          <w:sz w:val="28"/>
          <w:szCs w:val="28"/>
          <w:shd w:val="clear" w:color="auto" w:fill="FFFFFF"/>
        </w:rPr>
        <w:fldChar w:fldCharType="separate"/>
      </w:r>
      <w:r w:rsidR="003D1B06" w:rsidRPr="00B90A24">
        <w:rPr>
          <w:rFonts w:cs="Times New Roman"/>
          <w:sz w:val="28"/>
          <w:szCs w:val="28"/>
        </w:rPr>
        <w:t>OECD, 2015a</w:t>
      </w:r>
      <w:r w:rsidR="003D1B06" w:rsidRPr="00B90A24">
        <w:rPr>
          <w:rFonts w:eastAsia="Verdana" w:cs="Verdana"/>
          <w:sz w:val="28"/>
          <w:szCs w:val="28"/>
          <w:shd w:val="clear" w:color="auto" w:fill="FFFFFF"/>
        </w:rPr>
        <w:fldChar w:fldCharType="end"/>
      </w:r>
      <w:r w:rsidR="004504D5" w:rsidRPr="00B90A24">
        <w:rPr>
          <w:rFonts w:eastAsia="Verdana" w:cs="Verdana"/>
          <w:sz w:val="28"/>
          <w:szCs w:val="28"/>
          <w:shd w:val="clear" w:color="auto" w:fill="FFFFFF"/>
        </w:rPr>
        <w:t xml:space="preserve">; </w:t>
      </w:r>
      <w:r w:rsidR="003D1B06" w:rsidRPr="00B90A24">
        <w:rPr>
          <w:sz w:val="28"/>
          <w:szCs w:val="28"/>
        </w:rPr>
        <w:fldChar w:fldCharType="begin"/>
      </w:r>
      <w:r w:rsidR="00B133DE" w:rsidRPr="00B90A24">
        <w:rPr>
          <w:sz w:val="28"/>
          <w:szCs w:val="28"/>
        </w:rPr>
        <w:instrText xml:space="preserve"> ADDIN ZOTERO_ITEM CSL_CITATION {"citationID":"13K3XxKJ","properties":{"formattedCitation":"(OECD, 2015d)","plainCitation":"(OECD, 2015d)","dontUpdate":true,"noteIndex":0},"citationItems":[{"id":"LppWUde1/wRmPqgFJ","uris":["http://zotero.org/users/3783081/items/ETN7E7ER"],"uri":["http://zotero.org/users/3783081/items/ETN7E7ER"],"itemData":{"id":5937,"type":"book","title":"Countering Harmful Tax Practices More Effectively, Taking into Account Transparency and Substance, Action 5 - 2015 Final Report","collection-title":"OECD/G20 Base Erosion and Profit Shifting Project","publisher":"OECD Publishing","source":"Crossref","URL":"http://www.oecd-ilibrary.org/taxation/countering-harmful-tax-practices-more-effectively-taking-into-account-transparency-and-substance-action-5-2015-final-report_9789264241190-en","ISBN":"978-92-64-24118-3","note":"DOI: 10.1787/9789264241190-en","language":"en","author":[{"literal":"OECD"}],"issued":{"date-parts":[["2015",10,5]]},"accessed":{"date-parts":[["2018",8,16]]}}}],"schema":"https://github.com/citation-style-language/schema/raw/master/csl-citation.json"} </w:instrText>
      </w:r>
      <w:r w:rsidR="003D1B06" w:rsidRPr="00B90A24">
        <w:rPr>
          <w:sz w:val="28"/>
          <w:szCs w:val="28"/>
        </w:rPr>
        <w:fldChar w:fldCharType="separate"/>
      </w:r>
      <w:r w:rsidR="003D1B06" w:rsidRPr="00B90A24">
        <w:rPr>
          <w:rFonts w:cs="Times New Roman"/>
          <w:sz w:val="28"/>
          <w:szCs w:val="28"/>
        </w:rPr>
        <w:t>OECD, 2015d)</w:t>
      </w:r>
      <w:r w:rsidR="003D1B06" w:rsidRPr="00B90A24">
        <w:rPr>
          <w:sz w:val="28"/>
          <w:szCs w:val="28"/>
        </w:rPr>
        <w:fldChar w:fldCharType="end"/>
      </w:r>
      <w:r w:rsidR="004504D5" w:rsidRPr="00B90A24">
        <w:rPr>
          <w:sz w:val="28"/>
          <w:szCs w:val="28"/>
        </w:rPr>
        <w:t>.</w:t>
      </w:r>
      <w:r w:rsidR="005A5B1E" w:rsidRPr="00B90A24">
        <w:rPr>
          <w:sz w:val="28"/>
          <w:szCs w:val="28"/>
        </w:rPr>
        <w:t xml:space="preserve"> </w:t>
      </w:r>
      <w:r w:rsidR="00950F58" w:rsidRPr="00B90A24">
        <w:rPr>
          <w:rFonts w:eastAsia="Verdana" w:cs="Verdana"/>
          <w:sz w:val="28"/>
          <w:szCs w:val="28"/>
          <w:lang w:eastAsia="en-GB"/>
        </w:rPr>
        <w:t xml:space="preserve">The approach </w:t>
      </w:r>
      <w:r w:rsidR="005A5B1E" w:rsidRPr="00B90A24">
        <w:rPr>
          <w:rFonts w:eastAsia="Verdana" w:cs="Verdana"/>
          <w:sz w:val="28"/>
          <w:szCs w:val="28"/>
          <w:lang w:eastAsia="en-GB"/>
        </w:rPr>
        <w:t xml:space="preserve">seeks to </w:t>
      </w:r>
      <w:r w:rsidR="00950F58" w:rsidRPr="00B90A24">
        <w:rPr>
          <w:rFonts w:eastAsia="Verdana" w:cs="Verdana"/>
          <w:sz w:val="28"/>
          <w:szCs w:val="28"/>
          <w:lang w:eastAsia="en-GB"/>
        </w:rPr>
        <w:t xml:space="preserve">allow taxpayers to benefit from an intellectual property regime </w:t>
      </w:r>
      <w:r w:rsidR="003B6F7F" w:rsidRPr="00B90A24">
        <w:rPr>
          <w:rFonts w:eastAsia="Verdana" w:cs="Verdana"/>
          <w:sz w:val="28"/>
          <w:szCs w:val="28"/>
          <w:lang w:eastAsia="en-GB"/>
        </w:rPr>
        <w:t xml:space="preserve">to the extent </w:t>
      </w:r>
      <w:r w:rsidR="00E44EC7" w:rsidRPr="00B90A24">
        <w:rPr>
          <w:rFonts w:eastAsia="Verdana" w:cs="Verdana"/>
          <w:sz w:val="28"/>
          <w:szCs w:val="28"/>
          <w:lang w:eastAsia="en-GB"/>
        </w:rPr>
        <w:t xml:space="preserve">that </w:t>
      </w:r>
      <w:r w:rsidR="00950F58" w:rsidRPr="00B90A24">
        <w:rPr>
          <w:rFonts w:eastAsia="Verdana" w:cs="Verdana"/>
          <w:sz w:val="28"/>
          <w:szCs w:val="28"/>
          <w:lang w:eastAsia="en-GB"/>
        </w:rPr>
        <w:t xml:space="preserve">they can link the </w:t>
      </w:r>
      <w:r w:rsidR="00E44EC7" w:rsidRPr="00B90A24">
        <w:rPr>
          <w:rFonts w:eastAsia="Verdana" w:cs="Verdana"/>
          <w:sz w:val="28"/>
          <w:szCs w:val="28"/>
          <w:lang w:eastAsia="en-GB"/>
        </w:rPr>
        <w:t xml:space="preserve">proportion of </w:t>
      </w:r>
      <w:r w:rsidR="00950F58" w:rsidRPr="00B90A24">
        <w:rPr>
          <w:rFonts w:eastAsia="Verdana" w:cs="Verdana"/>
          <w:sz w:val="28"/>
          <w:szCs w:val="28"/>
          <w:lang w:eastAsia="en-GB"/>
        </w:rPr>
        <w:t xml:space="preserve">income that stems from the intellectual property to the </w:t>
      </w:r>
      <w:r w:rsidR="00E44EC7" w:rsidRPr="00B90A24">
        <w:rPr>
          <w:rFonts w:eastAsia="Verdana" w:cs="Verdana"/>
          <w:sz w:val="28"/>
          <w:szCs w:val="28"/>
          <w:lang w:eastAsia="en-GB"/>
        </w:rPr>
        <w:t xml:space="preserve">proportion of </w:t>
      </w:r>
      <w:r w:rsidR="00950F58" w:rsidRPr="00B90A24">
        <w:rPr>
          <w:rFonts w:eastAsia="Verdana" w:cs="Verdana"/>
          <w:sz w:val="28"/>
          <w:szCs w:val="28"/>
          <w:lang w:eastAsia="en-GB"/>
        </w:rPr>
        <w:t>expenditures</w:t>
      </w:r>
      <w:r w:rsidR="008B466C" w:rsidRPr="00B90A24">
        <w:rPr>
          <w:rFonts w:eastAsia="Verdana" w:cs="Verdana"/>
          <w:sz w:val="28"/>
          <w:szCs w:val="28"/>
          <w:lang w:eastAsia="en-GB"/>
        </w:rPr>
        <w:t xml:space="preserve"> incurred</w:t>
      </w:r>
      <w:r w:rsidR="00950F58" w:rsidRPr="00B90A24">
        <w:rPr>
          <w:rFonts w:eastAsia="Verdana" w:cs="Verdana"/>
          <w:sz w:val="28"/>
          <w:szCs w:val="28"/>
          <w:lang w:eastAsia="en-GB"/>
        </w:rPr>
        <w:t>, such as</w:t>
      </w:r>
      <w:r w:rsidR="008B466C" w:rsidRPr="00B90A24">
        <w:rPr>
          <w:rFonts w:eastAsia="Verdana" w:cs="Verdana"/>
          <w:sz w:val="28"/>
          <w:szCs w:val="28"/>
          <w:lang w:eastAsia="en-GB"/>
        </w:rPr>
        <w:t xml:space="preserve"> on</w:t>
      </w:r>
      <w:r w:rsidR="00950F58" w:rsidRPr="00B90A24">
        <w:rPr>
          <w:rFonts w:eastAsia="Verdana" w:cs="Verdana"/>
          <w:sz w:val="28"/>
          <w:szCs w:val="28"/>
          <w:lang w:eastAsia="en-GB"/>
        </w:rPr>
        <w:t xml:space="preserve"> research and development</w:t>
      </w:r>
      <w:r w:rsidR="008B466C" w:rsidRPr="00B90A24">
        <w:rPr>
          <w:rFonts w:eastAsia="Verdana" w:cs="Verdana"/>
          <w:sz w:val="28"/>
          <w:szCs w:val="28"/>
          <w:lang w:eastAsia="en-GB"/>
        </w:rPr>
        <w:t xml:space="preserve"> </w:t>
      </w:r>
      <w:r w:rsidR="00950F58" w:rsidRPr="00B90A24">
        <w:rPr>
          <w:rFonts w:eastAsia="Verdana" w:cs="Verdana"/>
          <w:sz w:val="28"/>
          <w:szCs w:val="28"/>
          <w:lang w:eastAsia="en-GB"/>
        </w:rPr>
        <w:t>(either by the taxpayer itself or by outsourcing it to a third party, i.e., qualified research and development activities)</w:t>
      </w:r>
      <w:r w:rsidR="000236FC" w:rsidRPr="00B90A24">
        <w:rPr>
          <w:rFonts w:eastAsia="Verdana" w:cs="Verdana"/>
          <w:sz w:val="28"/>
          <w:szCs w:val="28"/>
          <w:lang w:eastAsia="en-GB"/>
        </w:rPr>
        <w:t xml:space="preserve"> </w:t>
      </w:r>
      <w:r w:rsidR="00950F58" w:rsidRPr="00B90A24">
        <w:rPr>
          <w:sz w:val="28"/>
          <w:szCs w:val="28"/>
        </w:rPr>
        <w:fldChar w:fldCharType="begin"/>
      </w:r>
      <w:r w:rsidR="00B133DE" w:rsidRPr="00B90A24">
        <w:rPr>
          <w:sz w:val="28"/>
          <w:szCs w:val="28"/>
        </w:rPr>
        <w:instrText xml:space="preserve"> ADDIN ZOTERO_ITEM CSL_CITATION {"citationID":"aoc9q9itcd","properties":{"formattedCitation":"(OECD, 2017; Sanz Gomez, 2015, pp. 18\\uc0\\u8211{}19)","plainCitation":"(OECD, 2017; Sanz Gomez, 2015, pp. 18–19)","noteIndex":0},"citationItems":[{"id":"LppWUde1/Wp7e4oSa","uris":["http://zotero.org/users/3783081/items/A62X7N2R"],"uri":["http://zotero.org/users/3783081/items/A62X7N2R"],"itemData":{"id":5939,"type":"book","title":"Harmful Tax Practices - 2017 Progress Report on Preferential Regimes: Inclusive Framework on BEPS: Action 5","collection-title":"OECD/G20 Base Erosion and Profit Shifting Project","publisher":"OECD","source":"Crossref","URL":"https://www.oecd-ilibrary.org/taxation/harmful-tax-practices-2017-progress-report-on-preferential-regimes_9789264283954-en","ISBN":"978-92-64-28393-0","note":"DOI: 10.1787/9789264283954-en","title-short":"Harmful Tax Practices - 2017 Progress Report on Preferential Regimes","language":"en","author":[{"literal":"OECD"}],"issued":{"date-parts":[["2017",10,16]]},"accessed":{"date-parts":[["2018",8,16]]}}},{"id":"LppWUde1/7ewAqHG0","uris":["http://zotero.org/users/1521920/items/V4B5VPE9"],"uri":["http://zotero.org/users/1521920/items/V4B5VPE9"],"itemData":{"id":35422,"type":"article-journal","abstract":"IP boxes or patent boxes can be introduced so as to promote research and development (R&amp;D) activities or attract mobile IP assets, but they can also cause harmful tax competition. Action 5 of BEPS project has analysed this problem and proposes the application of a ‘nexus approach’ that aligns R&amp;D expenditures with the conferment of tax benefits. If this nexus approach is adopted by EU member states, they will have to respect state aid rules and fundamental freedoms. This paper analyses the OECD's nexus approach, the Anglo-German joint statement proposing a ‘modified nexus approach’, and the Italian IP box. The compatibility with EU law of all three and their likeliness to prevent harmful tax competition is assessed.","container-title":"SSRN Electronic Journal","DOI":"10.2139/ssrn.2589065","ISSN":"1556-5068","journalAbbreviation":"SSRN Journal","language":"en","source":"DOI.org (Crossref)","title":"The OECD's Nexus Approach to IP Boxes: A European Union Law Perspective","title-short":"The OECD's Nexus Approach to IP Boxes","URL":"https://www.ssrn.com/abstract=2589065","author":[{"family":"Sanz Gomez","given":"Rafael"}],"accessed":{"date-parts":[["2020",6,10]]},"issued":{"date-parts":[["2015"]]}},"locator":"18-19"}],"schema":"https://github.com/citation-style-language/schema/raw/master/csl-citation.json"} </w:instrText>
      </w:r>
      <w:r w:rsidR="00950F58" w:rsidRPr="00B90A24">
        <w:rPr>
          <w:sz w:val="28"/>
          <w:szCs w:val="28"/>
        </w:rPr>
        <w:fldChar w:fldCharType="separate"/>
      </w:r>
      <w:r w:rsidR="00B133DE" w:rsidRPr="00B90A24">
        <w:rPr>
          <w:rFonts w:cs="Times New Roman"/>
          <w:sz w:val="28"/>
          <w:szCs w:val="28"/>
        </w:rPr>
        <w:t>(OECD, 2017; Sanz Gomez, 2015, pp. 18–19)</w:t>
      </w:r>
      <w:r w:rsidR="00950F58" w:rsidRPr="00B90A24">
        <w:rPr>
          <w:sz w:val="28"/>
          <w:szCs w:val="28"/>
        </w:rPr>
        <w:fldChar w:fldCharType="end"/>
      </w:r>
      <w:r w:rsidR="000236FC" w:rsidRPr="00B90A24">
        <w:rPr>
          <w:sz w:val="28"/>
          <w:szCs w:val="28"/>
        </w:rPr>
        <w:t>.</w:t>
      </w:r>
      <w:r w:rsidR="00950F58" w:rsidRPr="00B90A24">
        <w:rPr>
          <w:rFonts w:eastAsia="Verdana" w:cs="Verdana"/>
          <w:sz w:val="28"/>
          <w:szCs w:val="28"/>
          <w:lang w:eastAsia="en-GB"/>
        </w:rPr>
        <w:t xml:space="preserve"> </w:t>
      </w:r>
    </w:p>
    <w:p w14:paraId="3315733A" w14:textId="77777777" w:rsidR="00783A4C" w:rsidRPr="00B90A24" w:rsidRDefault="00783A4C" w:rsidP="00B90A24">
      <w:pPr>
        <w:spacing w:after="0" w:line="240" w:lineRule="auto"/>
        <w:ind w:left="567" w:right="890"/>
        <w:jc w:val="both"/>
        <w:rPr>
          <w:rFonts w:eastAsia="Verdana" w:cs="Verdana"/>
          <w:sz w:val="28"/>
          <w:szCs w:val="28"/>
          <w:lang w:eastAsia="en-GB"/>
        </w:rPr>
      </w:pPr>
    </w:p>
    <w:p w14:paraId="428BDCFE" w14:textId="3E1725A7" w:rsidR="0092686E" w:rsidRPr="00B90A24" w:rsidRDefault="00950F58" w:rsidP="00B90A24">
      <w:pPr>
        <w:spacing w:after="0" w:line="240" w:lineRule="auto"/>
        <w:ind w:left="567" w:right="890"/>
        <w:jc w:val="both"/>
        <w:rPr>
          <w:rFonts w:eastAsia="Verdana" w:cs="Verdana"/>
          <w:sz w:val="28"/>
          <w:szCs w:val="28"/>
          <w:lang w:eastAsia="en-GB"/>
        </w:rPr>
      </w:pPr>
      <w:r w:rsidRPr="00B90A24">
        <w:rPr>
          <w:rFonts w:eastAsia="Verdana" w:cs="Verdana"/>
          <w:sz w:val="28"/>
          <w:szCs w:val="28"/>
          <w:lang w:eastAsia="en-GB"/>
        </w:rPr>
        <w:t xml:space="preserve">The </w:t>
      </w:r>
      <w:r w:rsidR="005A5B1E" w:rsidRPr="00B90A24">
        <w:rPr>
          <w:rFonts w:eastAsia="Verdana" w:cs="Verdana"/>
          <w:sz w:val="28"/>
          <w:szCs w:val="28"/>
          <w:lang w:eastAsia="en-GB"/>
        </w:rPr>
        <w:t>modifications of the</w:t>
      </w:r>
      <w:r w:rsidR="008B466C" w:rsidRPr="00B90A24">
        <w:rPr>
          <w:rFonts w:eastAsia="Verdana" w:cs="Verdana"/>
          <w:sz w:val="28"/>
          <w:szCs w:val="28"/>
          <w:lang w:eastAsia="en-GB"/>
        </w:rPr>
        <w:t>se aforementioned</w:t>
      </w:r>
      <w:r w:rsidR="005A5B1E" w:rsidRPr="00B90A24">
        <w:rPr>
          <w:rFonts w:eastAsia="Verdana" w:cs="Verdana"/>
          <w:sz w:val="28"/>
          <w:szCs w:val="28"/>
          <w:lang w:eastAsia="en-GB"/>
        </w:rPr>
        <w:t xml:space="preserve"> original nexus rules include </w:t>
      </w:r>
      <w:r w:rsidRPr="00B90A24">
        <w:rPr>
          <w:rFonts w:eastAsia="Verdana" w:cs="Verdana"/>
          <w:sz w:val="28"/>
          <w:szCs w:val="28"/>
          <w:lang w:eastAsia="en-GB"/>
        </w:rPr>
        <w:t>the following</w:t>
      </w:r>
      <w:r w:rsidR="00803D84" w:rsidRPr="00B90A24">
        <w:rPr>
          <w:rFonts w:eastAsia="Verdana" w:cs="Verdana"/>
          <w:sz w:val="28"/>
          <w:szCs w:val="28"/>
          <w:lang w:eastAsia="en-GB"/>
        </w:rPr>
        <w:t xml:space="preserve"> three</w:t>
      </w:r>
      <w:r w:rsidRPr="00B90A24">
        <w:rPr>
          <w:rFonts w:eastAsia="Verdana" w:cs="Verdana"/>
          <w:sz w:val="28"/>
          <w:szCs w:val="28"/>
          <w:lang w:eastAsia="en-GB"/>
        </w:rPr>
        <w:t xml:space="preserve"> main changes</w:t>
      </w:r>
      <w:r w:rsidR="0092686E" w:rsidRPr="00B90A24">
        <w:rPr>
          <w:rFonts w:eastAsia="Verdana" w:cs="Verdana"/>
          <w:sz w:val="28"/>
          <w:szCs w:val="28"/>
          <w:lang w:eastAsia="en-GB"/>
        </w:rPr>
        <w:t>. The first one in particular has</w:t>
      </w:r>
      <w:r w:rsidR="005364ED" w:rsidRPr="00B90A24">
        <w:rPr>
          <w:rFonts w:eastAsia="Verdana" w:cs="Verdana"/>
          <w:sz w:val="28"/>
          <w:szCs w:val="28"/>
          <w:lang w:eastAsia="en-GB"/>
        </w:rPr>
        <w:t xml:space="preserve"> </w:t>
      </w:r>
      <w:r w:rsidR="007C369E" w:rsidRPr="00B90A24">
        <w:rPr>
          <w:rFonts w:eastAsia="Verdana" w:cs="Verdana"/>
          <w:sz w:val="28"/>
          <w:szCs w:val="28"/>
          <w:lang w:eastAsia="en-GB"/>
        </w:rPr>
        <w:t xml:space="preserve">reduced </w:t>
      </w:r>
      <w:r w:rsidR="005364ED" w:rsidRPr="00B90A24">
        <w:rPr>
          <w:rFonts w:eastAsia="Verdana" w:cs="Verdana"/>
          <w:sz w:val="28"/>
          <w:szCs w:val="28"/>
          <w:lang w:eastAsia="en-GB"/>
        </w:rPr>
        <w:t>the</w:t>
      </w:r>
      <w:r w:rsidR="0092686E" w:rsidRPr="00B90A24">
        <w:rPr>
          <w:rFonts w:eastAsia="Verdana" w:cs="Verdana"/>
          <w:sz w:val="28"/>
          <w:szCs w:val="28"/>
          <w:lang w:eastAsia="en-GB"/>
        </w:rPr>
        <w:t xml:space="preserve"> likely </w:t>
      </w:r>
      <w:r w:rsidR="0092686E" w:rsidRPr="00B90A24">
        <w:rPr>
          <w:rFonts w:eastAsia="Verdana" w:cs="Verdana"/>
          <w:sz w:val="28"/>
          <w:szCs w:val="28"/>
          <w:lang w:eastAsia="en-GB"/>
        </w:rPr>
        <w:lastRenderedPageBreak/>
        <w:t xml:space="preserve">effectiveness of the </w:t>
      </w:r>
      <w:r w:rsidR="005364ED" w:rsidRPr="00B90A24">
        <w:rPr>
          <w:rFonts w:eastAsia="Verdana" w:cs="Verdana"/>
          <w:sz w:val="28"/>
          <w:szCs w:val="28"/>
          <w:lang w:eastAsia="en-GB"/>
        </w:rPr>
        <w:t>rules</w:t>
      </w:r>
      <w:r w:rsidR="0092686E" w:rsidRPr="00B90A24">
        <w:rPr>
          <w:rFonts w:eastAsia="Verdana" w:cs="Verdana"/>
          <w:sz w:val="28"/>
          <w:szCs w:val="28"/>
          <w:lang w:eastAsia="en-GB"/>
        </w:rPr>
        <w:t>.</w:t>
      </w:r>
      <w:r w:rsidRPr="00B90A24">
        <w:rPr>
          <w:rFonts w:eastAsia="Verdana" w:cs="Verdana"/>
          <w:sz w:val="28"/>
          <w:szCs w:val="28"/>
          <w:lang w:eastAsia="en-GB"/>
        </w:rPr>
        <w:t xml:space="preserve"> </w:t>
      </w:r>
      <w:r w:rsidR="0092686E" w:rsidRPr="00B90A24">
        <w:rPr>
          <w:rFonts w:eastAsia="Verdana" w:cs="Verdana"/>
          <w:sz w:val="28"/>
          <w:szCs w:val="28"/>
          <w:lang w:eastAsia="en-GB"/>
        </w:rPr>
        <w:t>In the first change</w:t>
      </w:r>
      <w:r w:rsidR="00803D84" w:rsidRPr="00B90A24">
        <w:rPr>
          <w:rFonts w:eastAsia="Verdana" w:cs="Verdana"/>
          <w:sz w:val="28"/>
          <w:szCs w:val="28"/>
          <w:lang w:eastAsia="en-GB"/>
        </w:rPr>
        <w:t xml:space="preserve">, up </w:t>
      </w:r>
      <w:r w:rsidRPr="00B90A24">
        <w:rPr>
          <w:rFonts w:eastAsia="Verdana" w:cs="Verdana"/>
          <w:sz w:val="28"/>
          <w:szCs w:val="28"/>
          <w:lang w:eastAsia="en-GB"/>
        </w:rPr>
        <w:t xml:space="preserve">to 30 per cent uplift of qualifying expenditures can be considered in determining the nexus ratio in limited circumstances. </w:t>
      </w:r>
      <w:r w:rsidR="00D10DD7" w:rsidRPr="00B90A24">
        <w:rPr>
          <w:rFonts w:eastAsia="Verdana" w:cs="Verdana"/>
          <w:sz w:val="28"/>
          <w:szCs w:val="28"/>
          <w:lang w:eastAsia="en-GB"/>
        </w:rPr>
        <w:t xml:space="preserve">To determine the share of profits eligible for privileged patent box taxation, </w:t>
      </w:r>
      <w:r w:rsidR="000C38E6" w:rsidRPr="00B90A24">
        <w:rPr>
          <w:rFonts w:eastAsia="Verdana" w:cs="Verdana"/>
          <w:sz w:val="28"/>
          <w:szCs w:val="28"/>
          <w:lang w:eastAsia="en-GB"/>
        </w:rPr>
        <w:t>this additional 30 per cent allows</w:t>
      </w:r>
      <w:r w:rsidR="008B466C" w:rsidRPr="00B90A24">
        <w:rPr>
          <w:rFonts w:eastAsia="Verdana" w:cs="Verdana"/>
          <w:sz w:val="28"/>
          <w:szCs w:val="28"/>
          <w:lang w:eastAsia="en-GB"/>
        </w:rPr>
        <w:t xml:space="preserve"> companies</w:t>
      </w:r>
      <w:r w:rsidR="000C38E6" w:rsidRPr="00B90A24">
        <w:rPr>
          <w:rFonts w:eastAsia="Verdana" w:cs="Verdana"/>
          <w:sz w:val="28"/>
          <w:szCs w:val="28"/>
          <w:lang w:eastAsia="en-GB"/>
        </w:rPr>
        <w:t xml:space="preserve"> </w:t>
      </w:r>
      <w:r w:rsidR="00731E30" w:rsidRPr="00B90A24">
        <w:rPr>
          <w:rFonts w:eastAsia="Verdana" w:cs="Verdana"/>
          <w:sz w:val="28"/>
          <w:szCs w:val="28"/>
          <w:lang w:eastAsia="en-GB"/>
        </w:rPr>
        <w:t xml:space="preserve">to more easily obtain the whole patent box </w:t>
      </w:r>
      <w:r w:rsidR="000861A7" w:rsidRPr="00B90A24">
        <w:rPr>
          <w:rFonts w:eastAsia="Verdana" w:cs="Verdana"/>
          <w:sz w:val="28"/>
          <w:szCs w:val="28"/>
          <w:lang w:eastAsia="en-GB"/>
        </w:rPr>
        <w:t xml:space="preserve">tax reduction </w:t>
      </w:r>
      <w:r w:rsidR="00731E30" w:rsidRPr="00B90A24">
        <w:rPr>
          <w:rFonts w:eastAsia="Verdana" w:cs="Verdana"/>
          <w:sz w:val="28"/>
          <w:szCs w:val="28"/>
          <w:lang w:eastAsia="en-GB"/>
        </w:rPr>
        <w:t xml:space="preserve">without </w:t>
      </w:r>
      <w:r w:rsidR="001310C5" w:rsidRPr="00B90A24">
        <w:rPr>
          <w:rFonts w:eastAsia="Verdana" w:cs="Verdana"/>
          <w:sz w:val="28"/>
          <w:szCs w:val="28"/>
          <w:lang w:eastAsia="en-GB"/>
        </w:rPr>
        <w:t xml:space="preserve">having to incur all </w:t>
      </w:r>
      <w:r w:rsidR="000861A7" w:rsidRPr="00B90A24">
        <w:rPr>
          <w:rFonts w:eastAsia="Verdana" w:cs="Verdana"/>
          <w:sz w:val="28"/>
          <w:szCs w:val="28"/>
          <w:lang w:eastAsia="en-GB"/>
        </w:rPr>
        <w:t>expenditures for its development</w:t>
      </w:r>
      <w:r w:rsidR="001310C5" w:rsidRPr="00B90A24">
        <w:rPr>
          <w:rFonts w:eastAsia="Verdana" w:cs="Verdana"/>
          <w:sz w:val="28"/>
          <w:szCs w:val="28"/>
          <w:lang w:eastAsia="en-GB"/>
        </w:rPr>
        <w:t xml:space="preserve"> in the jurisdiction</w:t>
      </w:r>
      <w:r w:rsidR="00055093" w:rsidRPr="00B90A24">
        <w:rPr>
          <w:rFonts w:eastAsia="Verdana" w:cs="Verdana"/>
          <w:sz w:val="28"/>
          <w:szCs w:val="28"/>
          <w:lang w:eastAsia="en-GB"/>
        </w:rPr>
        <w:t xml:space="preserve"> of the patent box</w:t>
      </w:r>
      <w:r w:rsidR="000861A7" w:rsidRPr="00B90A24">
        <w:rPr>
          <w:rFonts w:eastAsia="Verdana" w:cs="Verdana"/>
          <w:sz w:val="28"/>
          <w:szCs w:val="28"/>
          <w:lang w:eastAsia="en-GB"/>
        </w:rPr>
        <w:t xml:space="preserve">. </w:t>
      </w:r>
      <w:r w:rsidR="00FE438C" w:rsidRPr="00B90A24">
        <w:rPr>
          <w:rFonts w:eastAsia="Verdana" w:cs="Verdana"/>
          <w:sz w:val="28"/>
          <w:szCs w:val="28"/>
          <w:lang w:eastAsia="en-GB"/>
        </w:rPr>
        <w:t xml:space="preserve">For example, </w:t>
      </w:r>
      <w:r w:rsidRPr="00B90A24">
        <w:rPr>
          <w:rFonts w:eastAsia="Verdana" w:cs="Verdana"/>
          <w:sz w:val="28"/>
          <w:szCs w:val="28"/>
          <w:lang w:eastAsia="en-GB"/>
        </w:rPr>
        <w:t xml:space="preserve">if a company </w:t>
      </w:r>
      <w:r w:rsidR="00542CB9" w:rsidRPr="00B90A24">
        <w:rPr>
          <w:rFonts w:eastAsia="Verdana" w:cs="Verdana"/>
          <w:sz w:val="28"/>
          <w:szCs w:val="28"/>
          <w:lang w:eastAsia="en-GB"/>
        </w:rPr>
        <w:t>has developed a patent for a total cost of US$1.3m</w:t>
      </w:r>
      <w:r w:rsidR="00FE438C" w:rsidRPr="00B90A24">
        <w:rPr>
          <w:rFonts w:eastAsia="Verdana" w:cs="Verdana"/>
          <w:sz w:val="28"/>
          <w:szCs w:val="28"/>
          <w:lang w:eastAsia="en-GB"/>
        </w:rPr>
        <w:t xml:space="preserve"> and it</w:t>
      </w:r>
      <w:r w:rsidR="00542CB9" w:rsidRPr="00B90A24">
        <w:rPr>
          <w:rFonts w:eastAsia="Verdana" w:cs="Verdana"/>
          <w:sz w:val="28"/>
          <w:szCs w:val="28"/>
          <w:lang w:eastAsia="en-GB"/>
        </w:rPr>
        <w:t xml:space="preserve"> </w:t>
      </w:r>
      <w:r w:rsidR="00683935" w:rsidRPr="00B90A24">
        <w:rPr>
          <w:rFonts w:eastAsia="Verdana" w:cs="Verdana"/>
          <w:sz w:val="28"/>
          <w:szCs w:val="28"/>
          <w:lang w:eastAsia="en-GB"/>
        </w:rPr>
        <w:t>can demonstrate</w:t>
      </w:r>
      <w:r w:rsidR="00FE438C" w:rsidRPr="00B90A24">
        <w:rPr>
          <w:rFonts w:eastAsia="Verdana" w:cs="Verdana"/>
          <w:sz w:val="28"/>
          <w:szCs w:val="28"/>
          <w:lang w:eastAsia="en-GB"/>
        </w:rPr>
        <w:t xml:space="preserve"> </w:t>
      </w:r>
      <w:r w:rsidR="007B3B22" w:rsidRPr="00B90A24">
        <w:rPr>
          <w:rFonts w:eastAsia="Verdana" w:cs="Verdana"/>
          <w:sz w:val="28"/>
          <w:szCs w:val="28"/>
          <w:shd w:val="clear" w:color="auto" w:fill="FFFFFF"/>
        </w:rPr>
        <w:t xml:space="preserve">eligible </w:t>
      </w:r>
      <w:r w:rsidRPr="00B90A24">
        <w:rPr>
          <w:rFonts w:eastAsia="Verdana" w:cs="Verdana"/>
          <w:sz w:val="28"/>
          <w:szCs w:val="28"/>
          <w:shd w:val="clear" w:color="auto" w:fill="FFFFFF"/>
        </w:rPr>
        <w:t>expenditure cost</w:t>
      </w:r>
      <w:r w:rsidR="007B3B22" w:rsidRPr="00B90A24">
        <w:rPr>
          <w:rFonts w:eastAsia="Verdana" w:cs="Verdana"/>
          <w:sz w:val="28"/>
          <w:szCs w:val="28"/>
          <w:shd w:val="clear" w:color="auto" w:fill="FFFFFF"/>
        </w:rPr>
        <w:t>s</w:t>
      </w:r>
      <w:r w:rsidRPr="00B90A24">
        <w:rPr>
          <w:rFonts w:eastAsia="Verdana" w:cs="Verdana"/>
          <w:sz w:val="28"/>
          <w:szCs w:val="28"/>
          <w:shd w:val="clear" w:color="auto" w:fill="FFFFFF"/>
        </w:rPr>
        <w:t xml:space="preserve"> </w:t>
      </w:r>
      <w:r w:rsidR="00683935" w:rsidRPr="00B90A24">
        <w:rPr>
          <w:rFonts w:eastAsia="Verdana" w:cs="Verdana"/>
          <w:sz w:val="28"/>
          <w:szCs w:val="28"/>
          <w:shd w:val="clear" w:color="auto" w:fill="FFFFFF"/>
        </w:rPr>
        <w:t xml:space="preserve">for the development of </w:t>
      </w:r>
      <w:r w:rsidR="00FE438C" w:rsidRPr="00B90A24">
        <w:rPr>
          <w:rFonts w:eastAsia="Verdana" w:cs="Verdana"/>
          <w:sz w:val="28"/>
          <w:szCs w:val="28"/>
          <w:shd w:val="clear" w:color="auto" w:fill="FFFFFF"/>
        </w:rPr>
        <w:t xml:space="preserve">this </w:t>
      </w:r>
      <w:r w:rsidR="008B466C" w:rsidRPr="00B90A24">
        <w:rPr>
          <w:rFonts w:eastAsia="Verdana" w:cs="Verdana"/>
          <w:sz w:val="28"/>
          <w:szCs w:val="28"/>
          <w:shd w:val="clear" w:color="auto" w:fill="FFFFFF"/>
        </w:rPr>
        <w:t>intellectual property</w:t>
      </w:r>
      <w:r w:rsidR="00683935" w:rsidRPr="00B90A24">
        <w:rPr>
          <w:rFonts w:eastAsia="Verdana" w:cs="Verdana"/>
          <w:sz w:val="28"/>
          <w:szCs w:val="28"/>
          <w:shd w:val="clear" w:color="auto" w:fill="FFFFFF"/>
        </w:rPr>
        <w:t xml:space="preserve"> </w:t>
      </w:r>
      <w:r w:rsidRPr="00B90A24">
        <w:rPr>
          <w:rFonts w:eastAsia="Verdana" w:cs="Verdana"/>
          <w:sz w:val="28"/>
          <w:szCs w:val="28"/>
          <w:shd w:val="clear" w:color="auto" w:fill="FFFFFF"/>
        </w:rPr>
        <w:t>of US$1m</w:t>
      </w:r>
      <w:r w:rsidR="001310C5" w:rsidRPr="00B90A24">
        <w:rPr>
          <w:rFonts w:eastAsia="Verdana" w:cs="Verdana"/>
          <w:sz w:val="28"/>
          <w:szCs w:val="28"/>
          <w:shd w:val="clear" w:color="auto" w:fill="FFFFFF"/>
        </w:rPr>
        <w:t xml:space="preserve"> within the same jurisdiction</w:t>
      </w:r>
      <w:r w:rsidRPr="00B90A24">
        <w:rPr>
          <w:rFonts w:eastAsia="Verdana" w:cs="Verdana"/>
          <w:sz w:val="28"/>
          <w:szCs w:val="28"/>
          <w:shd w:val="clear" w:color="auto" w:fill="FFFFFF"/>
        </w:rPr>
        <w:t xml:space="preserve">, it can </w:t>
      </w:r>
      <w:r w:rsidR="00535E12" w:rsidRPr="00B90A24">
        <w:rPr>
          <w:rFonts w:eastAsia="Verdana" w:cs="Verdana"/>
          <w:sz w:val="28"/>
          <w:szCs w:val="28"/>
          <w:shd w:val="clear" w:color="auto" w:fill="FFFFFF"/>
        </w:rPr>
        <w:t xml:space="preserve">add </w:t>
      </w:r>
      <w:r w:rsidR="00006D5E" w:rsidRPr="00B90A24">
        <w:rPr>
          <w:rFonts w:eastAsia="Verdana" w:cs="Verdana"/>
          <w:sz w:val="28"/>
          <w:szCs w:val="28"/>
          <w:shd w:val="clear" w:color="auto" w:fill="FFFFFF"/>
        </w:rPr>
        <w:t>an additional US$300</w:t>
      </w:r>
      <w:r w:rsidR="0092686E" w:rsidRPr="00B90A24">
        <w:rPr>
          <w:rFonts w:eastAsia="Verdana" w:cs="Verdana"/>
          <w:sz w:val="28"/>
          <w:szCs w:val="28"/>
          <w:shd w:val="clear" w:color="auto" w:fill="FFFFFF"/>
        </w:rPr>
        <w:t>,</w:t>
      </w:r>
      <w:r w:rsidR="00006D5E" w:rsidRPr="00B90A24">
        <w:rPr>
          <w:rFonts w:eastAsia="Verdana" w:cs="Verdana"/>
          <w:sz w:val="28"/>
          <w:szCs w:val="28"/>
          <w:shd w:val="clear" w:color="auto" w:fill="FFFFFF"/>
        </w:rPr>
        <w:t xml:space="preserve">000 </w:t>
      </w:r>
      <w:r w:rsidR="00252016" w:rsidRPr="00B90A24">
        <w:rPr>
          <w:rFonts w:eastAsia="Verdana" w:cs="Verdana"/>
          <w:sz w:val="28"/>
          <w:szCs w:val="28"/>
          <w:shd w:val="clear" w:color="auto" w:fill="FFFFFF"/>
        </w:rPr>
        <w:t>of costs</w:t>
      </w:r>
      <w:r w:rsidR="00CC7CFB" w:rsidRPr="00B90A24">
        <w:rPr>
          <w:rFonts w:eastAsia="Verdana" w:cs="Verdana"/>
          <w:sz w:val="28"/>
          <w:szCs w:val="28"/>
          <w:shd w:val="clear" w:color="auto" w:fill="FFFFFF"/>
        </w:rPr>
        <w:t xml:space="preserve"> (i.e. 30 per cent)</w:t>
      </w:r>
      <w:r w:rsidR="00252016" w:rsidRPr="00B90A24">
        <w:rPr>
          <w:rFonts w:eastAsia="Verdana" w:cs="Verdana"/>
          <w:sz w:val="28"/>
          <w:szCs w:val="28"/>
          <w:shd w:val="clear" w:color="auto" w:fill="FFFFFF"/>
        </w:rPr>
        <w:t xml:space="preserve"> that </w:t>
      </w:r>
      <w:r w:rsidR="00D00D3B" w:rsidRPr="00B90A24">
        <w:rPr>
          <w:rFonts w:eastAsia="Verdana" w:cs="Verdana"/>
          <w:sz w:val="28"/>
          <w:szCs w:val="28"/>
          <w:shd w:val="clear" w:color="auto" w:fill="FFFFFF"/>
        </w:rPr>
        <w:t xml:space="preserve">may be </w:t>
      </w:r>
      <w:r w:rsidR="00252016" w:rsidRPr="00B90A24">
        <w:rPr>
          <w:rFonts w:eastAsia="Verdana" w:cs="Verdana"/>
          <w:sz w:val="28"/>
          <w:szCs w:val="28"/>
          <w:shd w:val="clear" w:color="auto" w:fill="FFFFFF"/>
        </w:rPr>
        <w:t>provided as inputs to the</w:t>
      </w:r>
      <w:r w:rsidR="00CC7CFB" w:rsidRPr="00B90A24">
        <w:rPr>
          <w:rFonts w:eastAsia="Verdana" w:cs="Verdana"/>
          <w:sz w:val="28"/>
          <w:szCs w:val="28"/>
          <w:shd w:val="clear" w:color="auto" w:fill="FFFFFF"/>
        </w:rPr>
        <w:t xml:space="preserve"> intellectual property</w:t>
      </w:r>
      <w:r w:rsidR="00252016" w:rsidRPr="00B90A24">
        <w:rPr>
          <w:rFonts w:eastAsia="Verdana" w:cs="Verdana"/>
          <w:sz w:val="28"/>
          <w:szCs w:val="28"/>
          <w:shd w:val="clear" w:color="auto" w:fill="FFFFFF"/>
        </w:rPr>
        <w:t xml:space="preserve"> development by </w:t>
      </w:r>
      <w:r w:rsidR="005A6292" w:rsidRPr="00B90A24">
        <w:rPr>
          <w:rFonts w:eastAsia="Verdana" w:cs="Verdana"/>
          <w:sz w:val="28"/>
          <w:szCs w:val="28"/>
          <w:shd w:val="clear" w:color="auto" w:fill="FFFFFF"/>
        </w:rPr>
        <w:t xml:space="preserve">another company </w:t>
      </w:r>
      <w:r w:rsidR="001310C5" w:rsidRPr="00B90A24">
        <w:rPr>
          <w:rFonts w:eastAsia="Verdana" w:cs="Verdana"/>
          <w:sz w:val="28"/>
          <w:szCs w:val="28"/>
          <w:shd w:val="clear" w:color="auto" w:fill="FFFFFF"/>
        </w:rPr>
        <w:t xml:space="preserve">abroad </w:t>
      </w:r>
      <w:r w:rsidR="005A6292" w:rsidRPr="00B90A24">
        <w:rPr>
          <w:rFonts w:eastAsia="Verdana" w:cs="Verdana"/>
          <w:sz w:val="28"/>
          <w:szCs w:val="28"/>
          <w:shd w:val="clear" w:color="auto" w:fill="FFFFFF"/>
        </w:rPr>
        <w:t xml:space="preserve">in the same corporate group </w:t>
      </w:r>
      <w:r w:rsidR="00252016" w:rsidRPr="00B90A24">
        <w:rPr>
          <w:rFonts w:eastAsia="Verdana" w:cs="Verdana"/>
          <w:sz w:val="28"/>
          <w:szCs w:val="28"/>
          <w:shd w:val="clear" w:color="auto" w:fill="FFFFFF"/>
        </w:rPr>
        <w:t>“</w:t>
      </w:r>
      <w:r w:rsidR="000F33BE" w:rsidRPr="00B90A24">
        <w:rPr>
          <w:rFonts w:eastAsia="Verdana" w:cs="Verdana"/>
          <w:sz w:val="28"/>
          <w:szCs w:val="28"/>
          <w:shd w:val="clear" w:color="auto" w:fill="FFFFFF"/>
        </w:rPr>
        <w:t xml:space="preserve">[…] </w:t>
      </w:r>
      <w:r w:rsidR="00252016" w:rsidRPr="00B90A24">
        <w:rPr>
          <w:rFonts w:eastAsia="Verdana" w:cs="Verdana"/>
          <w:sz w:val="28"/>
          <w:szCs w:val="28"/>
          <w:shd w:val="clear" w:color="auto" w:fill="FFFFFF"/>
        </w:rPr>
        <w:t>without losing the right to receive the whole benefit”</w:t>
      </w:r>
      <w:r w:rsidR="000F33BE" w:rsidRPr="00B90A24">
        <w:rPr>
          <w:rFonts w:eastAsia="Verdana" w:cs="Verdana"/>
          <w:sz w:val="28"/>
          <w:szCs w:val="28"/>
          <w:shd w:val="clear" w:color="auto" w:fill="FFFFFF"/>
        </w:rPr>
        <w:t xml:space="preserve"> </w:t>
      </w:r>
      <w:r w:rsidR="000F33BE" w:rsidRPr="00B90A24">
        <w:rPr>
          <w:rFonts w:eastAsia="Verdana" w:cs="Verdana"/>
          <w:sz w:val="28"/>
          <w:szCs w:val="28"/>
          <w:shd w:val="clear" w:color="auto" w:fill="FFFFFF"/>
        </w:rPr>
        <w:fldChar w:fldCharType="begin"/>
      </w:r>
      <w:r w:rsidR="00B133DE" w:rsidRPr="00B90A24">
        <w:rPr>
          <w:rFonts w:eastAsia="Verdana" w:cs="Verdana"/>
          <w:sz w:val="28"/>
          <w:szCs w:val="28"/>
          <w:shd w:val="clear" w:color="auto" w:fill="FFFFFF"/>
        </w:rPr>
        <w:instrText xml:space="preserve"> ADDIN ZOTERO_ITEM CSL_CITATION {"citationID":"a24dkj5a35s","properties":{"formattedCitation":"(Sanz Gomez, 2015, p. 24)","plainCitation":"(Sanz Gomez, 2015, p. 24)","noteIndex":0},"citationItems":[{"id":"LppWUde1/7ewAqHG0","uris":["http://zotero.org/users/1521920/items/V4B5VPE9"],"uri":["http://zotero.org/users/1521920/items/V4B5VPE9"],"itemData":{"id":35422,"type":"article-journal","abstract":"IP boxes or patent boxes can be introduced so as to promote research and development (R&amp;D) activities or attract mobile IP assets, but they can also cause harmful tax competition. Action 5 of BEPS project has analysed this problem and proposes the application of a ‘nexus approach’ that aligns R&amp;D expenditures with the conferment of tax benefits. If this nexus approach is adopted by EU member states, they will have to respect state aid rules and fundamental freedoms. This paper analyses the OECD's nexus approach, the Anglo-German joint statement proposing a ‘modified nexus approach’, and the Italian IP box. The compatibility with EU law of all three and their likeliness to prevent harmful tax competition is assessed.","container-title":"SSRN Electronic Journal","DOI":"10.2139/ssrn.2589065","ISSN":"1556-5068","journalAbbreviation":"SSRN Journal","language":"en","source":"DOI.org (Crossref)","title":"The OECD's Nexus Approach to IP Boxes: A European Union Law Perspective","title-short":"The OECD's Nexus Approach to IP Boxes","URL":"https://www.ssrn.com/abstract=2589065","author":[{"family":"Sanz Gomez","given":"Rafael"}],"accessed":{"date-parts":[["2020",6,10]]},"issued":{"date-parts":[["2015"]]}},"locator":"24"}],"schema":"https://github.com/citation-style-language/schema/raw/master/csl-citation.json"} </w:instrText>
      </w:r>
      <w:r w:rsidR="000F33BE" w:rsidRPr="00B90A24">
        <w:rPr>
          <w:rFonts w:eastAsia="Verdana" w:cs="Verdana"/>
          <w:sz w:val="28"/>
          <w:szCs w:val="28"/>
          <w:shd w:val="clear" w:color="auto" w:fill="FFFFFF"/>
        </w:rPr>
        <w:fldChar w:fldCharType="separate"/>
      </w:r>
      <w:r w:rsidR="00B133DE" w:rsidRPr="00B90A24">
        <w:rPr>
          <w:rFonts w:cs="Times New Roman"/>
          <w:sz w:val="28"/>
          <w:szCs w:val="28"/>
        </w:rPr>
        <w:t>(Sanz Gomez, 2015, p. 24)</w:t>
      </w:r>
      <w:r w:rsidR="000F33BE" w:rsidRPr="00B90A24">
        <w:rPr>
          <w:rFonts w:eastAsia="Verdana" w:cs="Verdana"/>
          <w:sz w:val="28"/>
          <w:szCs w:val="28"/>
          <w:shd w:val="clear" w:color="auto" w:fill="FFFFFF"/>
        </w:rPr>
        <w:fldChar w:fldCharType="end"/>
      </w:r>
      <w:r w:rsidR="00252016" w:rsidRPr="00B90A24">
        <w:rPr>
          <w:rFonts w:eastAsia="Verdana" w:cs="Verdana"/>
          <w:sz w:val="28"/>
          <w:szCs w:val="28"/>
          <w:shd w:val="clear" w:color="auto" w:fill="FFFFFF"/>
        </w:rPr>
        <w:t>.</w:t>
      </w:r>
      <w:r w:rsidRPr="00B90A24">
        <w:rPr>
          <w:rFonts w:eastAsia="Verdana" w:cs="Verdana"/>
          <w:sz w:val="28"/>
          <w:szCs w:val="28"/>
          <w:lang w:eastAsia="en-GB"/>
        </w:rPr>
        <w:t xml:space="preserve"> </w:t>
      </w:r>
    </w:p>
    <w:p w14:paraId="55BFA381" w14:textId="77777777" w:rsidR="00783A4C" w:rsidRPr="00B90A24" w:rsidRDefault="00783A4C" w:rsidP="00B90A24">
      <w:pPr>
        <w:spacing w:after="0" w:line="240" w:lineRule="auto"/>
        <w:ind w:left="567" w:right="890"/>
        <w:jc w:val="both"/>
        <w:rPr>
          <w:rFonts w:eastAsia="Verdana" w:cs="Verdana"/>
          <w:sz w:val="28"/>
          <w:szCs w:val="28"/>
          <w:lang w:eastAsia="en-GB"/>
        </w:rPr>
      </w:pPr>
    </w:p>
    <w:p w14:paraId="2054E2D8" w14:textId="27A86AA1" w:rsidR="00950F58" w:rsidRPr="00B90A24" w:rsidDel="00A71331" w:rsidRDefault="004B1BEE" w:rsidP="00B90A24">
      <w:pPr>
        <w:spacing w:after="0" w:line="240" w:lineRule="auto"/>
        <w:ind w:left="567" w:right="890"/>
        <w:jc w:val="both"/>
        <w:rPr>
          <w:sz w:val="28"/>
          <w:szCs w:val="28"/>
          <w:lang w:eastAsia="en-GB"/>
        </w:rPr>
      </w:pPr>
      <w:r w:rsidRPr="00B90A24">
        <w:rPr>
          <w:rFonts w:eastAsia="Verdana" w:cs="Verdana"/>
          <w:sz w:val="28"/>
          <w:szCs w:val="28"/>
          <w:lang w:eastAsia="en-GB"/>
        </w:rPr>
        <w:t xml:space="preserve">The second change to the original nexus approach </w:t>
      </w:r>
      <w:r w:rsidR="00BA39CE" w:rsidRPr="00B90A24">
        <w:rPr>
          <w:rFonts w:eastAsia="Verdana" w:cs="Verdana"/>
          <w:sz w:val="28"/>
          <w:szCs w:val="28"/>
          <w:lang w:eastAsia="en-GB"/>
        </w:rPr>
        <w:t xml:space="preserve">set </w:t>
      </w:r>
      <w:r w:rsidR="00CC7CFB" w:rsidRPr="00B90A24">
        <w:rPr>
          <w:rFonts w:eastAsia="Verdana" w:cs="Verdana"/>
          <w:sz w:val="28"/>
          <w:szCs w:val="28"/>
          <w:lang w:eastAsia="en-GB"/>
        </w:rPr>
        <w:t xml:space="preserve">30 June 2016 </w:t>
      </w:r>
      <w:r w:rsidR="00BA39CE" w:rsidRPr="00B90A24">
        <w:rPr>
          <w:rFonts w:eastAsia="Verdana" w:cs="Verdana"/>
          <w:sz w:val="28"/>
          <w:szCs w:val="28"/>
          <w:lang w:eastAsia="en-GB"/>
        </w:rPr>
        <w:t xml:space="preserve">as </w:t>
      </w:r>
      <w:r w:rsidR="00CC7CFB" w:rsidRPr="00B90A24">
        <w:rPr>
          <w:rFonts w:eastAsia="Verdana" w:cs="Verdana"/>
          <w:sz w:val="28"/>
          <w:szCs w:val="28"/>
          <w:lang w:eastAsia="en-GB"/>
        </w:rPr>
        <w:t xml:space="preserve">the </w:t>
      </w:r>
      <w:r w:rsidR="00BA39CE" w:rsidRPr="00B90A24">
        <w:rPr>
          <w:rFonts w:eastAsia="Verdana" w:cs="Verdana"/>
          <w:sz w:val="28"/>
          <w:szCs w:val="28"/>
          <w:lang w:eastAsia="en-GB"/>
        </w:rPr>
        <w:t xml:space="preserve">last date </w:t>
      </w:r>
      <w:r w:rsidR="00950F58" w:rsidRPr="00B90A24">
        <w:rPr>
          <w:rFonts w:eastAsia="Verdana" w:cs="Verdana"/>
          <w:sz w:val="28"/>
          <w:szCs w:val="28"/>
          <w:shd w:val="clear" w:color="auto" w:fill="FFFFFF"/>
        </w:rPr>
        <w:t>to introduce new entrants to patent box regimes that were not consistent with the nexus approach</w:t>
      </w:r>
      <w:r w:rsidR="00F866E4" w:rsidRPr="00B90A24">
        <w:rPr>
          <w:rFonts w:eastAsia="Verdana" w:cs="Verdana"/>
          <w:sz w:val="28"/>
          <w:szCs w:val="28"/>
          <w:shd w:val="clear" w:color="auto" w:fill="FFFFFF"/>
        </w:rPr>
        <w:t xml:space="preserve">. Third, a grandfathering provision </w:t>
      </w:r>
      <w:r w:rsidR="00B37E71" w:rsidRPr="00B90A24">
        <w:rPr>
          <w:rFonts w:eastAsia="Verdana" w:cs="Verdana"/>
          <w:sz w:val="28"/>
          <w:szCs w:val="28"/>
          <w:shd w:val="clear" w:color="auto" w:fill="FFFFFF"/>
        </w:rPr>
        <w:t>for</w:t>
      </w:r>
      <w:r w:rsidR="00F866E4" w:rsidRPr="00B90A24">
        <w:rPr>
          <w:rFonts w:eastAsia="Verdana" w:cs="Verdana"/>
          <w:sz w:val="28"/>
          <w:szCs w:val="28"/>
          <w:shd w:val="clear" w:color="auto" w:fill="FFFFFF"/>
        </w:rPr>
        <w:t xml:space="preserve"> existing </w:t>
      </w:r>
      <w:r w:rsidR="00CA21AF" w:rsidRPr="00B90A24">
        <w:rPr>
          <w:rFonts w:eastAsia="Verdana" w:cs="Verdana"/>
          <w:sz w:val="28"/>
          <w:szCs w:val="28"/>
          <w:shd w:val="clear" w:color="auto" w:fill="FFFFFF"/>
        </w:rPr>
        <w:t xml:space="preserve">non-compliant </w:t>
      </w:r>
      <w:r w:rsidR="00CC7CFB" w:rsidRPr="00B90A24">
        <w:rPr>
          <w:rFonts w:eastAsia="Verdana" w:cs="Verdana"/>
          <w:sz w:val="28"/>
          <w:szCs w:val="28"/>
          <w:shd w:val="clear" w:color="auto" w:fill="FFFFFF"/>
        </w:rPr>
        <w:t>intellectual property</w:t>
      </w:r>
      <w:r w:rsidR="00CA21AF" w:rsidRPr="00B90A24">
        <w:rPr>
          <w:rFonts w:eastAsia="Verdana" w:cs="Verdana"/>
          <w:sz w:val="28"/>
          <w:szCs w:val="28"/>
          <w:shd w:val="clear" w:color="auto" w:fill="FFFFFF"/>
        </w:rPr>
        <w:t xml:space="preserve"> regimes was </w:t>
      </w:r>
      <w:r w:rsidR="00060467" w:rsidRPr="00B90A24">
        <w:rPr>
          <w:rFonts w:eastAsia="Verdana" w:cs="Verdana"/>
          <w:sz w:val="28"/>
          <w:szCs w:val="28"/>
          <w:shd w:val="clear" w:color="auto" w:fill="FFFFFF"/>
        </w:rPr>
        <w:t xml:space="preserve">implemented by setting </w:t>
      </w:r>
      <w:r w:rsidR="00950F58" w:rsidRPr="00B90A24">
        <w:rPr>
          <w:rFonts w:eastAsia="Verdana" w:cs="Verdana"/>
          <w:sz w:val="28"/>
          <w:szCs w:val="28"/>
          <w:shd w:val="clear" w:color="auto" w:fill="FFFFFF"/>
        </w:rPr>
        <w:t xml:space="preserve">30 June 2021 </w:t>
      </w:r>
      <w:r w:rsidR="00060467" w:rsidRPr="00B90A24">
        <w:rPr>
          <w:rFonts w:eastAsia="Verdana" w:cs="Verdana"/>
          <w:sz w:val="28"/>
          <w:szCs w:val="28"/>
          <w:shd w:val="clear" w:color="auto" w:fill="FFFFFF"/>
        </w:rPr>
        <w:t xml:space="preserve">as the last date </w:t>
      </w:r>
      <w:r w:rsidR="00B37E71" w:rsidRPr="00B90A24">
        <w:rPr>
          <w:rFonts w:eastAsia="Verdana" w:cs="Verdana"/>
          <w:sz w:val="28"/>
          <w:szCs w:val="28"/>
          <w:shd w:val="clear" w:color="auto" w:fill="FFFFFF"/>
        </w:rPr>
        <w:t xml:space="preserve">by which </w:t>
      </w:r>
      <w:r w:rsidR="00060467" w:rsidRPr="00B90A24">
        <w:rPr>
          <w:rFonts w:eastAsia="Verdana" w:cs="Verdana"/>
          <w:sz w:val="28"/>
          <w:szCs w:val="28"/>
          <w:shd w:val="clear" w:color="auto" w:fill="FFFFFF"/>
        </w:rPr>
        <w:t xml:space="preserve">benefits </w:t>
      </w:r>
      <w:r w:rsidR="00B37E71" w:rsidRPr="00B90A24">
        <w:rPr>
          <w:rFonts w:eastAsia="Verdana" w:cs="Verdana"/>
          <w:sz w:val="28"/>
          <w:szCs w:val="28"/>
          <w:shd w:val="clear" w:color="auto" w:fill="FFFFFF"/>
        </w:rPr>
        <w:t xml:space="preserve">under those regimes could be claimed. </w:t>
      </w:r>
      <w:r w:rsidR="00950F58" w:rsidRPr="00B90A24">
        <w:rPr>
          <w:rFonts w:eastAsia="Verdana" w:cs="Verdana"/>
          <w:sz w:val="28"/>
          <w:szCs w:val="28"/>
          <w:lang w:eastAsia="en-GB"/>
        </w:rPr>
        <w:t>A</w:t>
      </w:r>
      <w:r w:rsidR="00950F58" w:rsidRPr="00B90A24">
        <w:rPr>
          <w:rFonts w:cs="Calibri"/>
          <w:sz w:val="28"/>
          <w:szCs w:val="28"/>
          <w:shd w:val="clear" w:color="auto" w:fill="FFFFFF"/>
        </w:rPr>
        <w:t>s of May 2019</w:t>
      </w:r>
      <w:r w:rsidR="00950F58" w:rsidRPr="00B90A24">
        <w:rPr>
          <w:rFonts w:ascii="Arial" w:hAnsi="Arial" w:cs="Arial"/>
          <w:color w:val="222222"/>
          <w:sz w:val="28"/>
          <w:szCs w:val="28"/>
          <w:shd w:val="clear" w:color="auto" w:fill="FFFFFF"/>
        </w:rPr>
        <w:t>—</w:t>
      </w:r>
      <w:r w:rsidR="00950F58" w:rsidRPr="00B90A24">
        <w:rPr>
          <w:rFonts w:cs="Calibri"/>
          <w:sz w:val="28"/>
          <w:szCs w:val="28"/>
          <w:shd w:val="clear" w:color="auto" w:fill="FFFFFF"/>
        </w:rPr>
        <w:t>the launch of the Corporate Tax Haven Index</w:t>
      </w:r>
      <w:r w:rsidR="00950F58" w:rsidRPr="00B90A24">
        <w:rPr>
          <w:rFonts w:ascii="Arial" w:hAnsi="Arial" w:cs="Arial"/>
          <w:color w:val="222222"/>
          <w:sz w:val="28"/>
          <w:szCs w:val="28"/>
          <w:shd w:val="clear" w:color="auto" w:fill="FFFFFF"/>
        </w:rPr>
        <w:t>—</w:t>
      </w:r>
      <w:r w:rsidR="00950F58" w:rsidRPr="00B90A24">
        <w:rPr>
          <w:rFonts w:eastAsia="Verdana" w:cs="Verdana"/>
          <w:sz w:val="28"/>
          <w:szCs w:val="28"/>
          <w:lang w:eastAsia="en-GB"/>
        </w:rPr>
        <w:t xml:space="preserve">in cases where a jurisdiction introduced </w:t>
      </w:r>
      <w:r w:rsidR="00950F58" w:rsidRPr="00B90A24">
        <w:rPr>
          <w:rFonts w:cs="Calibri"/>
          <w:sz w:val="28"/>
          <w:szCs w:val="28"/>
          <w:shd w:val="clear" w:color="auto" w:fill="FFFFFF"/>
        </w:rPr>
        <w:t>grandfathering rules that enable companies which entered the regime earlier to continue benefitting from the old patent box regime (without nexus constraints) until 30 June 2021, the preferential regime is still available and assessed as such.</w:t>
      </w:r>
    </w:p>
    <w:p w14:paraId="2C3D3DF3" w14:textId="77777777" w:rsidR="00695178" w:rsidRPr="00B90A24" w:rsidRDefault="00695178" w:rsidP="00B90A24">
      <w:pPr>
        <w:spacing w:after="0" w:line="240" w:lineRule="auto"/>
        <w:ind w:left="567" w:right="890"/>
        <w:jc w:val="both"/>
        <w:rPr>
          <w:rFonts w:eastAsia="Verdana" w:cs="Verdana"/>
          <w:color w:val="000000"/>
          <w:sz w:val="28"/>
          <w:szCs w:val="28"/>
          <w:lang w:eastAsia="en-GB"/>
        </w:rPr>
      </w:pPr>
    </w:p>
    <w:p w14:paraId="738F2B44" w14:textId="5B04F5BD" w:rsidR="00950F58" w:rsidRPr="00B90A24" w:rsidRDefault="00CC7CFB" w:rsidP="00B90A24">
      <w:pPr>
        <w:spacing w:after="0" w:line="240" w:lineRule="auto"/>
        <w:ind w:left="567" w:right="890"/>
        <w:jc w:val="both"/>
        <w:rPr>
          <w:rFonts w:eastAsia="Verdana" w:cs="Verdana"/>
          <w:sz w:val="28"/>
          <w:szCs w:val="28"/>
          <w:shd w:val="clear" w:color="auto" w:fill="FFFFFF"/>
        </w:rPr>
      </w:pPr>
      <w:r w:rsidRPr="00B90A24">
        <w:rPr>
          <w:rFonts w:eastAsia="Verdana" w:cs="Verdana"/>
          <w:color w:val="000000"/>
          <w:sz w:val="28"/>
          <w:szCs w:val="28"/>
          <w:lang w:eastAsia="en-GB"/>
        </w:rPr>
        <w:t>T</w:t>
      </w:r>
      <w:r w:rsidR="00950F58" w:rsidRPr="00B90A24">
        <w:rPr>
          <w:rFonts w:eastAsia="Verdana" w:cs="Verdana"/>
          <w:color w:val="000000"/>
          <w:sz w:val="28"/>
          <w:szCs w:val="28"/>
          <w:lang w:eastAsia="en-GB"/>
        </w:rPr>
        <w:t xml:space="preserve">he OECD nexus approach </w:t>
      </w:r>
      <w:r w:rsidR="009E1C8D" w:rsidRPr="00B90A24">
        <w:rPr>
          <w:rFonts w:eastAsia="Verdana" w:cs="Verdana"/>
          <w:color w:val="000000"/>
          <w:sz w:val="28"/>
          <w:szCs w:val="28"/>
          <w:lang w:eastAsia="en-GB"/>
        </w:rPr>
        <w:t xml:space="preserve">may be seen as </w:t>
      </w:r>
      <w:r w:rsidR="00950F58" w:rsidRPr="00B90A24">
        <w:rPr>
          <w:rFonts w:eastAsia="Verdana" w:cs="Verdana"/>
          <w:color w:val="000000"/>
          <w:sz w:val="28"/>
          <w:szCs w:val="28"/>
          <w:lang w:eastAsia="en-GB"/>
        </w:rPr>
        <w:t>a step in the right direction</w:t>
      </w:r>
      <w:r w:rsidR="00DA1663" w:rsidRPr="00B90A24">
        <w:rPr>
          <w:rFonts w:eastAsia="Verdana" w:cs="Verdana"/>
          <w:color w:val="000000"/>
          <w:sz w:val="28"/>
          <w:szCs w:val="28"/>
          <w:lang w:eastAsia="en-GB"/>
        </w:rPr>
        <w:t xml:space="preserve"> by at least </w:t>
      </w:r>
      <w:r w:rsidR="00230EBC" w:rsidRPr="00B90A24">
        <w:rPr>
          <w:rFonts w:eastAsia="Verdana" w:cs="Verdana"/>
          <w:color w:val="000000"/>
          <w:sz w:val="28"/>
          <w:szCs w:val="28"/>
          <w:lang w:eastAsia="en-GB"/>
        </w:rPr>
        <w:t>preventing</w:t>
      </w:r>
      <w:r w:rsidR="00DA1663" w:rsidRPr="00B90A24">
        <w:rPr>
          <w:rFonts w:eastAsia="Verdana" w:cs="Verdana"/>
          <w:color w:val="000000"/>
          <w:sz w:val="28"/>
          <w:szCs w:val="28"/>
          <w:lang w:eastAsia="en-GB"/>
        </w:rPr>
        <w:t xml:space="preserve"> the </w:t>
      </w:r>
      <w:r w:rsidR="007B1D6F" w:rsidRPr="00B90A24">
        <w:rPr>
          <w:rFonts w:eastAsia="Verdana" w:cs="Verdana"/>
          <w:color w:val="000000"/>
          <w:sz w:val="28"/>
          <w:szCs w:val="28"/>
          <w:lang w:eastAsia="en-GB"/>
        </w:rPr>
        <w:t>use of trademarks and brands for</w:t>
      </w:r>
      <w:r w:rsidR="008A6DAD" w:rsidRPr="00B90A24">
        <w:rPr>
          <w:rFonts w:eastAsia="Verdana" w:cs="Verdana"/>
          <w:color w:val="000000"/>
          <w:sz w:val="28"/>
          <w:szCs w:val="28"/>
          <w:lang w:eastAsia="en-GB"/>
        </w:rPr>
        <w:t xml:space="preserve"> legitimising </w:t>
      </w:r>
      <w:r w:rsidR="007B1D6F" w:rsidRPr="00B90A24">
        <w:rPr>
          <w:rFonts w:eastAsia="Verdana" w:cs="Verdana"/>
          <w:color w:val="000000"/>
          <w:sz w:val="28"/>
          <w:szCs w:val="28"/>
          <w:lang w:eastAsia="en-GB"/>
        </w:rPr>
        <w:t xml:space="preserve">profit shifting into </w:t>
      </w:r>
      <w:r w:rsidR="00DA1663" w:rsidRPr="00B90A24">
        <w:rPr>
          <w:rFonts w:eastAsia="Verdana" w:cs="Verdana"/>
          <w:color w:val="000000"/>
          <w:sz w:val="28"/>
          <w:szCs w:val="28"/>
          <w:lang w:eastAsia="en-GB"/>
        </w:rPr>
        <w:t>patent box</w:t>
      </w:r>
      <w:r w:rsidR="007B1D6F" w:rsidRPr="00B90A24">
        <w:rPr>
          <w:rFonts w:eastAsia="Verdana" w:cs="Verdana"/>
          <w:color w:val="000000"/>
          <w:sz w:val="28"/>
          <w:szCs w:val="28"/>
          <w:lang w:eastAsia="en-GB"/>
        </w:rPr>
        <w:t>es</w:t>
      </w:r>
      <w:r w:rsidRPr="00B90A24">
        <w:rPr>
          <w:rFonts w:eastAsia="Verdana" w:cs="Verdana"/>
          <w:color w:val="000000"/>
          <w:sz w:val="28"/>
          <w:szCs w:val="28"/>
          <w:lang w:eastAsia="en-GB"/>
        </w:rPr>
        <w:t>. However,</w:t>
      </w:r>
      <w:r w:rsidR="00950F58" w:rsidRPr="00B90A24">
        <w:rPr>
          <w:rFonts w:eastAsia="Verdana" w:cs="Verdana"/>
          <w:color w:val="000000"/>
          <w:sz w:val="28"/>
          <w:szCs w:val="28"/>
          <w:lang w:eastAsia="en-GB"/>
        </w:rPr>
        <w:t xml:space="preserve"> the constraints set out by the approach are not sufficient to prevent the abuse of patent boxes as</w:t>
      </w:r>
      <w:r w:rsidRPr="00B90A24">
        <w:rPr>
          <w:rFonts w:eastAsia="Verdana" w:cs="Verdana"/>
          <w:color w:val="000000"/>
          <w:sz w:val="28"/>
          <w:szCs w:val="28"/>
          <w:lang w:eastAsia="en-GB"/>
        </w:rPr>
        <w:t xml:space="preserve"> part of</w:t>
      </w:r>
      <w:r w:rsidR="00950F58" w:rsidRPr="00B90A24">
        <w:rPr>
          <w:rFonts w:eastAsia="Verdana" w:cs="Verdana"/>
          <w:color w:val="000000"/>
          <w:sz w:val="28"/>
          <w:szCs w:val="28"/>
          <w:lang w:eastAsia="en-GB"/>
        </w:rPr>
        <w:t xml:space="preserve"> tactics in base ero</w:t>
      </w:r>
      <w:r w:rsidR="00557DD4" w:rsidRPr="00B90A24">
        <w:rPr>
          <w:rFonts w:eastAsia="Verdana" w:cs="Verdana"/>
          <w:color w:val="000000"/>
          <w:sz w:val="28"/>
          <w:szCs w:val="28"/>
          <w:lang w:eastAsia="en-GB"/>
        </w:rPr>
        <w:t>sion</w:t>
      </w:r>
      <w:r w:rsidR="008434FE" w:rsidRPr="00B90A24">
        <w:rPr>
          <w:rFonts w:eastAsia="Verdana" w:cs="Verdana"/>
          <w:color w:val="000000"/>
          <w:sz w:val="28"/>
          <w:szCs w:val="28"/>
          <w:lang w:eastAsia="en-GB"/>
        </w:rPr>
        <w:t xml:space="preserve"> </w:t>
      </w:r>
      <w:r w:rsidRPr="00B90A24">
        <w:rPr>
          <w:rFonts w:eastAsia="Verdana" w:cs="Verdana"/>
          <w:color w:val="000000"/>
          <w:sz w:val="28"/>
          <w:szCs w:val="28"/>
          <w:lang w:eastAsia="en-GB"/>
        </w:rPr>
        <w:t xml:space="preserve">and profit shifting </w:t>
      </w:r>
      <w:r w:rsidR="008434FE" w:rsidRPr="00B90A24">
        <w:rPr>
          <w:rFonts w:eastAsia="Verdana" w:cs="Verdana"/>
          <w:color w:val="000000"/>
          <w:sz w:val="28"/>
          <w:szCs w:val="28"/>
          <w:lang w:eastAsia="en-GB"/>
        </w:rPr>
        <w:t>and may have even served to legitimise a race to the bottom</w:t>
      </w:r>
      <w:r w:rsidR="0092686E" w:rsidRPr="00B90A24">
        <w:rPr>
          <w:rFonts w:eastAsia="Verdana" w:cs="Verdana"/>
          <w:color w:val="000000"/>
          <w:sz w:val="28"/>
          <w:szCs w:val="28"/>
          <w:lang w:eastAsia="en-GB"/>
        </w:rPr>
        <w:t xml:space="preserve"> </w:t>
      </w:r>
      <w:r w:rsidR="0092686E" w:rsidRPr="00B90A24">
        <w:rPr>
          <w:rFonts w:eastAsia="Verdana" w:cs="Verdana"/>
          <w:color w:val="000000"/>
          <w:sz w:val="28"/>
          <w:szCs w:val="28"/>
          <w:lang w:eastAsia="en-GB"/>
        </w:rPr>
        <w:fldChar w:fldCharType="begin"/>
      </w:r>
      <w:r w:rsidR="00A06D6C" w:rsidRPr="00B90A24">
        <w:rPr>
          <w:rFonts w:eastAsia="Verdana" w:cs="Verdana"/>
          <w:color w:val="000000"/>
          <w:sz w:val="28"/>
          <w:szCs w:val="28"/>
          <w:lang w:eastAsia="en-GB"/>
        </w:rPr>
        <w:instrText xml:space="preserve"> ADDIN ZOTERO_ITEM CSL_CITATION {"citationID":"auuc84i11v","properties":{"formattedCitation":"(Diaz, 2019)","plainCitation":"(Diaz, 2019)","noteIndex":0},"citationItems":[{"id":5908,"uris":["http://zotero.org/groups/997303/items/3QH29F85"],"uri":["http://zotero.org/groups/997303/items/3QH29F85"],"itemData":{"id":5908,"type":"article-journal","container-title":"International Journal of Public Law and Policy","DOI":"10.1504/IJPLAP.2019.102882","ISSN":"2044-7663, 2044-7671","issue":"3","journalAbbreviation":"IJPLAP","language":"en","page":"270","source":"DOI.org (Crossref)","title":"Patent boxes and the erosion of trust in trade and in governance","volume":"6","author":[{"family":"Diaz","given":"Esperanza Buitrago"}],"issued":{"date-parts":[["2019"]]}}}],"schema":"https://github.com/citation-style-language/schema/raw/master/csl-citation.json"} </w:instrText>
      </w:r>
      <w:r w:rsidR="0092686E" w:rsidRPr="00B90A24">
        <w:rPr>
          <w:rFonts w:eastAsia="Verdana" w:cs="Verdana"/>
          <w:color w:val="000000"/>
          <w:sz w:val="28"/>
          <w:szCs w:val="28"/>
          <w:lang w:eastAsia="en-GB"/>
        </w:rPr>
        <w:fldChar w:fldCharType="separate"/>
      </w:r>
      <w:r w:rsidR="00B133DE" w:rsidRPr="00B90A24">
        <w:rPr>
          <w:rFonts w:cs="Times New Roman"/>
          <w:sz w:val="28"/>
          <w:szCs w:val="28"/>
        </w:rPr>
        <w:t>(Diaz, 2019)</w:t>
      </w:r>
      <w:r w:rsidR="0092686E" w:rsidRPr="00B90A24">
        <w:rPr>
          <w:rFonts w:eastAsia="Verdana" w:cs="Verdana"/>
          <w:color w:val="000000"/>
          <w:sz w:val="28"/>
          <w:szCs w:val="28"/>
          <w:lang w:eastAsia="en-GB"/>
        </w:rPr>
        <w:fldChar w:fldCharType="end"/>
      </w:r>
      <w:r w:rsidR="00950F58" w:rsidRPr="00B90A24">
        <w:rPr>
          <w:rFonts w:eastAsia="Verdana" w:cs="Verdana"/>
          <w:color w:val="000000"/>
          <w:sz w:val="28"/>
          <w:szCs w:val="28"/>
          <w:lang w:eastAsia="en-GB"/>
        </w:rPr>
        <w:t>. This is because profits from the use of patents are taxed at a lower rate, and the amount of qualifying profits may be unlimited</w:t>
      </w:r>
      <w:r w:rsidR="000236FC" w:rsidRPr="00B90A24">
        <w:rPr>
          <w:rFonts w:eastAsia="Verdana" w:cs="Verdana"/>
          <w:color w:val="000000"/>
          <w:sz w:val="28"/>
          <w:szCs w:val="28"/>
          <w:lang w:eastAsia="en-GB"/>
        </w:rPr>
        <w:t xml:space="preserve"> </w:t>
      </w:r>
      <w:r w:rsidR="000236FC" w:rsidRPr="00B90A24">
        <w:rPr>
          <w:rFonts w:eastAsia="Verdana" w:cs="Verdana"/>
          <w:color w:val="000000"/>
          <w:sz w:val="28"/>
          <w:szCs w:val="28"/>
          <w:lang w:eastAsia="en-GB"/>
        </w:rPr>
        <w:fldChar w:fldCharType="begin"/>
      </w:r>
      <w:r w:rsidR="00500851" w:rsidRPr="00B90A24">
        <w:rPr>
          <w:rFonts w:eastAsia="Verdana" w:cs="Verdana"/>
          <w:color w:val="000000"/>
          <w:sz w:val="28"/>
          <w:szCs w:val="28"/>
          <w:lang w:eastAsia="en-GB"/>
        </w:rPr>
        <w:instrText xml:space="preserve"> ADDIN ZOTERO_ITEM CSL_CITATION {"citationID":"N1v2pD9V","properties":{"formattedCitation":"(Shaxson, 2014a)","plainCitation":"(Shaxson, 2014a)","noteIndex":0},"citationItems":[{"id":5578,"uris":["http://zotero.org/groups/997303/items/VR8DTFJH"],"uri":["http://zotero.org/groups/997303/items/VR8DTFJH"],"itemData":{"id":5578,"type":"post-weblog","container-title":"Tax Justice Network","language":"en-GB","note":"source: www.taxjustice.net","title":"The UK Patent box – will it come back in through the back door, accompanied by Germany?","URL":"https://www.taxjustice.net/2014/11/13/uk-patent-box-will-come-back-back-door-accompanied-germany/, https://www.taxjustice.net/2014/11/13/uk-patent-box-will-come-back-back-door-accompanied-germany/","author":[{"family":"Shaxson","given":"Nicholas"}],"accessed":{"date-parts":[["2020",4,3]]},"issued":{"date-parts":[["2014",11,13]]}}}],"schema":"https://github.com/citation-style-language/schema/raw/master/csl-citation.json"} </w:instrText>
      </w:r>
      <w:r w:rsidR="000236FC" w:rsidRPr="00B90A24">
        <w:rPr>
          <w:rFonts w:eastAsia="Verdana" w:cs="Verdana"/>
          <w:color w:val="000000"/>
          <w:sz w:val="28"/>
          <w:szCs w:val="28"/>
          <w:lang w:eastAsia="en-GB"/>
        </w:rPr>
        <w:fldChar w:fldCharType="separate"/>
      </w:r>
      <w:r w:rsidR="00B133DE" w:rsidRPr="00B90A24">
        <w:rPr>
          <w:rFonts w:cs="Times New Roman"/>
          <w:sz w:val="28"/>
          <w:szCs w:val="28"/>
        </w:rPr>
        <w:t>(Shaxson, 2014a)</w:t>
      </w:r>
      <w:r w:rsidR="000236FC" w:rsidRPr="00B90A24">
        <w:rPr>
          <w:rFonts w:eastAsia="Verdana" w:cs="Verdana"/>
          <w:color w:val="000000"/>
          <w:sz w:val="28"/>
          <w:szCs w:val="28"/>
          <w:lang w:eastAsia="en-GB"/>
        </w:rPr>
        <w:fldChar w:fldCharType="end"/>
      </w:r>
      <w:r w:rsidR="00950F58" w:rsidRPr="00B90A24">
        <w:rPr>
          <w:rFonts w:eastAsia="Verdana" w:cs="Verdana"/>
          <w:color w:val="000000"/>
          <w:sz w:val="28"/>
          <w:szCs w:val="28"/>
          <w:lang w:eastAsia="en-GB"/>
        </w:rPr>
        <w:t>.</w:t>
      </w:r>
      <w:r w:rsidR="00950F58" w:rsidRPr="00B90A24">
        <w:rPr>
          <w:rFonts w:eastAsia="Verdana" w:cs="Verdana"/>
          <w:sz w:val="28"/>
          <w:szCs w:val="28"/>
          <w:shd w:val="clear" w:color="auto" w:fill="FFFFFF"/>
        </w:rPr>
        <w:t xml:space="preserve"> </w:t>
      </w:r>
      <w:r w:rsidRPr="00B90A24">
        <w:rPr>
          <w:rFonts w:eastAsia="Verdana" w:cs="Verdana"/>
          <w:sz w:val="28"/>
          <w:szCs w:val="28"/>
          <w:shd w:val="clear" w:color="auto" w:fill="FFFFFF"/>
        </w:rPr>
        <w:t>Further, i</w:t>
      </w:r>
      <w:r w:rsidR="00950F58" w:rsidRPr="00B90A24">
        <w:rPr>
          <w:rFonts w:eastAsia="Verdana" w:cs="Verdana"/>
          <w:sz w:val="28"/>
          <w:szCs w:val="28"/>
          <w:shd w:val="clear" w:color="auto" w:fill="FFFFFF"/>
        </w:rPr>
        <w:t>mplementing and enforcing the nexus requirements are obstacles which are near impossible to overcome in order to prevent the abuse of patent boxes for inward profit shifting. Not only does the patent box jurisdiction have little incentive to reduce the attributable profits to the patent box, but also the criterion for demonstrating “substantial economic activities” as a condition for profit attribution can be met easily by ticking the right boxes or</w:t>
      </w:r>
      <w:r w:rsidR="003A59D7" w:rsidRPr="00B90A24">
        <w:rPr>
          <w:rFonts w:eastAsia="Verdana" w:cs="Verdana"/>
          <w:sz w:val="28"/>
          <w:szCs w:val="28"/>
          <w:shd w:val="clear" w:color="auto" w:fill="FFFFFF"/>
        </w:rPr>
        <w:t xml:space="preserve"> </w:t>
      </w:r>
      <w:r w:rsidR="00950F58" w:rsidRPr="00B90A24">
        <w:rPr>
          <w:rFonts w:eastAsia="Verdana" w:cs="Verdana"/>
          <w:sz w:val="28"/>
          <w:szCs w:val="28"/>
          <w:shd w:val="clear" w:color="auto" w:fill="FFFFFF"/>
        </w:rPr>
        <w:t>following professional advice.</w:t>
      </w:r>
    </w:p>
    <w:p w14:paraId="38B6BE06" w14:textId="77777777" w:rsidR="00783A4C" w:rsidRPr="00B90A24" w:rsidRDefault="00783A4C" w:rsidP="00B90A24">
      <w:pPr>
        <w:spacing w:after="0" w:line="240" w:lineRule="auto"/>
        <w:ind w:left="567" w:right="890"/>
        <w:jc w:val="both"/>
        <w:rPr>
          <w:rFonts w:eastAsia="Verdana" w:cs="Verdana"/>
          <w:sz w:val="28"/>
          <w:szCs w:val="28"/>
          <w:shd w:val="clear" w:color="auto" w:fill="FFFFFF"/>
        </w:rPr>
      </w:pPr>
    </w:p>
    <w:p w14:paraId="567BD5C0" w14:textId="456C83F6" w:rsidR="00950F58" w:rsidRPr="00B90A24" w:rsidRDefault="00950F58" w:rsidP="00B90A24">
      <w:pPr>
        <w:spacing w:after="0" w:line="240" w:lineRule="auto"/>
        <w:ind w:left="567" w:right="890"/>
        <w:jc w:val="both"/>
        <w:rPr>
          <w:rFonts w:eastAsia="Verdana" w:cs="Verdana"/>
          <w:color w:val="000000"/>
          <w:sz w:val="28"/>
          <w:szCs w:val="28"/>
          <w:lang w:eastAsia="en-GB"/>
        </w:rPr>
      </w:pPr>
      <w:r w:rsidRPr="00B90A24">
        <w:rPr>
          <w:rFonts w:eastAsia="Verdana" w:cs="Verdana"/>
          <w:sz w:val="28"/>
          <w:szCs w:val="28"/>
          <w:shd w:val="clear" w:color="auto" w:fill="FFFFFF"/>
        </w:rPr>
        <w:t>Governments will need to make sure that national rules comply with the agreed standard and that tax authorities are able to trace which of the expenditures is considered as “qualifying expenditure”</w:t>
      </w:r>
      <w:r w:rsidR="000236FC" w:rsidRPr="00B90A24">
        <w:rPr>
          <w:rFonts w:eastAsia="Verdana" w:cs="Verdana"/>
          <w:sz w:val="28"/>
          <w:szCs w:val="28"/>
          <w:shd w:val="clear" w:color="auto" w:fill="FFFFFF"/>
        </w:rPr>
        <w:t xml:space="preserve"> </w:t>
      </w:r>
      <w:r w:rsidR="000236FC" w:rsidRPr="00B90A24">
        <w:rPr>
          <w:rFonts w:eastAsia="Verdana" w:cs="Verdana"/>
          <w:sz w:val="28"/>
          <w:szCs w:val="28"/>
          <w:shd w:val="clear" w:color="auto" w:fill="FFFFFF"/>
        </w:rPr>
        <w:fldChar w:fldCharType="begin"/>
      </w:r>
      <w:r w:rsidR="00500851" w:rsidRPr="00B90A24">
        <w:rPr>
          <w:rFonts w:eastAsia="Verdana" w:cs="Verdana"/>
          <w:sz w:val="28"/>
          <w:szCs w:val="28"/>
          <w:shd w:val="clear" w:color="auto" w:fill="FFFFFF"/>
        </w:rPr>
        <w:instrText xml:space="preserve"> ADDIN ZOTERO_ITEM CSL_CITATION {"citationID":"rPAfHNO5","properties":{"formattedCitation":"(Shaxson, 2014b)","plainCitation":"(Shaxson, 2014b)","noteIndex":0},"citationItems":[{"id":5554,"uris":["http://zotero.org/groups/997303/items/C4S6FNNY"],"uri":["http://zotero.org/groups/997303/items/C4S6FNNY"],"itemData":{"id":5554,"type":"post-weblog","container-title":"Tax Justice Network","language":"en-GB","note":"source: www.taxjustice.net","title":"Patent boxes: progress, or more racing to the bottom?","title-short":"Patent boxes","URL":"https://www.taxjustice.net/2014/11/17/patent-boxes-progress-racing-bottom/, https://www.taxjustice.net/2014/11/17/patent-boxes-progress-racing-bottom/","author":[{"family":"Shaxson","given":"Nicholas"}],"accessed":{"date-parts":[["2020",4,3]]},"issued":{"date-parts":[["2014",11,17]]}}}],"schema":"https://github.com/citation-style-language/schema/raw/master/csl-citation.json"} </w:instrText>
      </w:r>
      <w:r w:rsidR="000236FC" w:rsidRPr="00B90A24">
        <w:rPr>
          <w:rFonts w:eastAsia="Verdana" w:cs="Verdana"/>
          <w:sz w:val="28"/>
          <w:szCs w:val="28"/>
          <w:shd w:val="clear" w:color="auto" w:fill="FFFFFF"/>
        </w:rPr>
        <w:fldChar w:fldCharType="separate"/>
      </w:r>
      <w:r w:rsidR="00B133DE" w:rsidRPr="00B90A24">
        <w:rPr>
          <w:rFonts w:cs="Times New Roman"/>
          <w:sz w:val="28"/>
          <w:szCs w:val="28"/>
        </w:rPr>
        <w:t>(Shaxson, 2014b)</w:t>
      </w:r>
      <w:r w:rsidR="000236FC" w:rsidRPr="00B90A24">
        <w:rPr>
          <w:rFonts w:eastAsia="Verdana" w:cs="Verdana"/>
          <w:sz w:val="28"/>
          <w:szCs w:val="28"/>
          <w:shd w:val="clear" w:color="auto" w:fill="FFFFFF"/>
        </w:rPr>
        <w:fldChar w:fldCharType="end"/>
      </w:r>
      <w:r w:rsidRPr="00B90A24">
        <w:rPr>
          <w:rFonts w:eastAsia="Verdana" w:cs="Verdana"/>
          <w:sz w:val="28"/>
          <w:szCs w:val="28"/>
          <w:shd w:val="clear" w:color="auto" w:fill="FFFFFF"/>
        </w:rPr>
        <w:t>. This may be a</w:t>
      </w:r>
      <w:r w:rsidR="00B823F5" w:rsidRPr="00B90A24">
        <w:rPr>
          <w:rFonts w:eastAsia="Verdana" w:cs="Verdana"/>
          <w:sz w:val="28"/>
          <w:szCs w:val="28"/>
          <w:shd w:val="clear" w:color="auto" w:fill="FFFFFF"/>
        </w:rPr>
        <w:t xml:space="preserve">n invitation </w:t>
      </w:r>
      <w:r w:rsidRPr="00B90A24">
        <w:rPr>
          <w:rFonts w:eastAsia="Verdana" w:cs="Verdana"/>
          <w:sz w:val="28"/>
          <w:szCs w:val="28"/>
          <w:shd w:val="clear" w:color="auto" w:fill="FFFFFF"/>
        </w:rPr>
        <w:t xml:space="preserve">for disastrous </w:t>
      </w:r>
      <w:r w:rsidRPr="00B90A24">
        <w:rPr>
          <w:rFonts w:eastAsia="Verdana" w:cs="Verdana"/>
          <w:sz w:val="28"/>
          <w:szCs w:val="28"/>
          <w:bdr w:val="none" w:sz="0" w:space="0" w:color="auto" w:frame="1"/>
          <w:shd w:val="clear" w:color="auto" w:fill="FFFFFF"/>
        </w:rPr>
        <w:t>sweetheart deals</w:t>
      </w:r>
      <w:r w:rsidR="00C671DE" w:rsidRPr="00B90A24">
        <w:rPr>
          <w:rFonts w:eastAsia="Verdana" w:cs="Verdana"/>
          <w:sz w:val="28"/>
          <w:szCs w:val="28"/>
          <w:bdr w:val="none" w:sz="0" w:space="0" w:color="auto" w:frame="1"/>
          <w:shd w:val="clear" w:color="auto" w:fill="FFFFFF"/>
        </w:rPr>
        <w:t xml:space="preserve"> </w:t>
      </w:r>
      <w:r w:rsidR="00C671DE" w:rsidRPr="00B90A24">
        <w:rPr>
          <w:rFonts w:eastAsia="Verdana" w:cs="Verdana"/>
          <w:sz w:val="28"/>
          <w:szCs w:val="28"/>
          <w:bdr w:val="none" w:sz="0" w:space="0" w:color="auto" w:frame="1"/>
          <w:shd w:val="clear" w:color="auto" w:fill="FFFFFF"/>
        </w:rPr>
        <w:fldChar w:fldCharType="begin"/>
      </w:r>
      <w:r w:rsidR="00500851" w:rsidRPr="00B90A24">
        <w:rPr>
          <w:rFonts w:eastAsia="Verdana" w:cs="Verdana"/>
          <w:sz w:val="28"/>
          <w:szCs w:val="28"/>
          <w:bdr w:val="none" w:sz="0" w:space="0" w:color="auto" w:frame="1"/>
          <w:shd w:val="clear" w:color="auto" w:fill="FFFFFF"/>
        </w:rPr>
        <w:instrText xml:space="preserve"> ADDIN ZOTERO_ITEM CSL_CITATION {"citationID":"k1G1KtVN","properties":{"formattedCitation":"(Cobham, 2014)","plainCitation":"(Cobham, 2014)","noteIndex":0},"citationItems":[{"id":5579,"uris":["http://zotero.org/groups/997303/items/2I5WLQKV"],"uri":["http://zotero.org/groups/997303/items/2I5WLQKV"],"itemData":{"id":5579,"type":"webpage","abstract":"Aside from lurid revelations about individual companies and the big four accounting firms, the leaks of multinationals’ tax deals with Luxembourg confirm­—and expose to a wider audience­—the true nature of the tax ‘competition’ that prevents the emergence of effective international rules.","container-title":"Center For Global Development","language":"en","note":"source: www.cgdev.org","title":"#Luxleaks: The Reality of Tax ‘Competition’","title-short":"#Luxleaks","URL":"https://www.cgdev.org/blog/luxleaks-reality-tax-competition","author":[{"family":"Cobham","given":"Alex"}],"accessed":{"date-parts":[["2020",4,3]]},"issued":{"date-parts":[["2014",12,16]]}}}],"schema":"https://github.com/citation-style-language/schema/raw/master/csl-citation.json"} </w:instrText>
      </w:r>
      <w:r w:rsidR="00C671DE" w:rsidRPr="00B90A24">
        <w:rPr>
          <w:rFonts w:eastAsia="Verdana" w:cs="Verdana"/>
          <w:sz w:val="28"/>
          <w:szCs w:val="28"/>
          <w:bdr w:val="none" w:sz="0" w:space="0" w:color="auto" w:frame="1"/>
          <w:shd w:val="clear" w:color="auto" w:fill="FFFFFF"/>
        </w:rPr>
        <w:fldChar w:fldCharType="separate"/>
      </w:r>
      <w:r w:rsidR="00B133DE" w:rsidRPr="00B90A24">
        <w:rPr>
          <w:rFonts w:cs="Times New Roman"/>
          <w:sz w:val="28"/>
          <w:szCs w:val="28"/>
        </w:rPr>
        <w:t>(Cobham, 2014)</w:t>
      </w:r>
      <w:r w:rsidR="00C671DE" w:rsidRPr="00B90A24">
        <w:rPr>
          <w:rFonts w:eastAsia="Verdana" w:cs="Verdana"/>
          <w:sz w:val="28"/>
          <w:szCs w:val="28"/>
          <w:bdr w:val="none" w:sz="0" w:space="0" w:color="auto" w:frame="1"/>
          <w:shd w:val="clear" w:color="auto" w:fill="FFFFFF"/>
        </w:rPr>
        <w:fldChar w:fldCharType="end"/>
      </w:r>
      <w:r w:rsidR="00C671DE" w:rsidRPr="00B90A24">
        <w:rPr>
          <w:rFonts w:eastAsia="Verdana" w:cs="Verdana"/>
          <w:sz w:val="28"/>
          <w:szCs w:val="28"/>
          <w:bdr w:val="none" w:sz="0" w:space="0" w:color="auto" w:frame="1"/>
          <w:shd w:val="clear" w:color="auto" w:fill="FFFFFF"/>
        </w:rPr>
        <w:t xml:space="preserve"> </w:t>
      </w:r>
      <w:r w:rsidRPr="00B90A24">
        <w:rPr>
          <w:rFonts w:eastAsia="Verdana" w:cs="Verdana"/>
          <w:color w:val="333333"/>
          <w:sz w:val="28"/>
          <w:szCs w:val="28"/>
          <w:shd w:val="clear" w:color="auto" w:fill="FFFFFF"/>
        </w:rPr>
        <w:t xml:space="preserve"> as </w:t>
      </w:r>
      <w:r w:rsidR="00B823F5" w:rsidRPr="00B90A24">
        <w:rPr>
          <w:rFonts w:eastAsia="Verdana" w:cs="Verdana"/>
          <w:sz w:val="28"/>
          <w:szCs w:val="28"/>
          <w:shd w:val="clear" w:color="auto" w:fill="FFFFFF"/>
        </w:rPr>
        <w:t xml:space="preserve">were disclosed in </w:t>
      </w:r>
      <w:r w:rsidRPr="00B90A24">
        <w:rPr>
          <w:rFonts w:eastAsia="Verdana" w:cs="Verdana"/>
          <w:sz w:val="28"/>
          <w:szCs w:val="28"/>
          <w:shd w:val="clear" w:color="auto" w:fill="FFFFFF"/>
        </w:rPr>
        <w:t>the Lux Leaks revelations</w:t>
      </w:r>
      <w:r w:rsidR="00C671DE" w:rsidRPr="00B90A24">
        <w:rPr>
          <w:rFonts w:eastAsia="Verdana" w:cs="Verdana"/>
          <w:sz w:val="28"/>
          <w:szCs w:val="28"/>
          <w:shd w:val="clear" w:color="auto" w:fill="FFFFFF"/>
        </w:rPr>
        <w:t xml:space="preserve"> </w:t>
      </w:r>
      <w:r w:rsidR="00C671DE" w:rsidRPr="00B90A24">
        <w:rPr>
          <w:rFonts w:eastAsia="Verdana" w:cs="Verdana"/>
          <w:sz w:val="28"/>
          <w:szCs w:val="28"/>
          <w:shd w:val="clear" w:color="auto" w:fill="FFFFFF"/>
        </w:rPr>
        <w:fldChar w:fldCharType="begin"/>
      </w:r>
      <w:r w:rsidR="00500851" w:rsidRPr="00B90A24">
        <w:rPr>
          <w:rFonts w:eastAsia="Verdana" w:cs="Verdana"/>
          <w:sz w:val="28"/>
          <w:szCs w:val="28"/>
          <w:shd w:val="clear" w:color="auto" w:fill="FFFFFF"/>
        </w:rPr>
        <w:instrText xml:space="preserve"> ADDIN ZOTERO_ITEM CSL_CITATION {"citationID":"GoZYlhzX","properties":{"formattedCitation":"(ICIJ, 2014)","plainCitation":"(ICIJ, 2014)","noteIndex":0},"citationItems":[{"id":5580,"uris":["http://zotero.org/groups/997303/items/2LFXAHNH"],"uri":["http://zotero.org/groups/997303/items/2LFXAHNH"],"itemData":{"id":5580,"type":"post-weblog","abstract":"New files obtained by ICIJ disclose secret tax structures sought by “Big 4” accounting giants for global brand name companies.","container-title":"ICIJ","language":"en-US","note":"source: www.icij.org","title":"Luxembourg Leaks: Global Companies' Secrets Exposed","title-short":"Luxembourg Leaks","URL":"https://www.icij.org/investigations/luxembourg-leaks/","author":[{"family":"ICIJ","given":""}],"accessed":{"date-parts":[["2020",4,3]]},"issued":{"date-parts":[["2014"]]}}}],"schema":"https://github.com/citation-style-language/schema/raw/master/csl-citation.json"} </w:instrText>
      </w:r>
      <w:r w:rsidR="00C671DE" w:rsidRPr="00B90A24">
        <w:rPr>
          <w:rFonts w:eastAsia="Verdana" w:cs="Verdana"/>
          <w:sz w:val="28"/>
          <w:szCs w:val="28"/>
          <w:shd w:val="clear" w:color="auto" w:fill="FFFFFF"/>
        </w:rPr>
        <w:fldChar w:fldCharType="separate"/>
      </w:r>
      <w:r w:rsidR="00B133DE" w:rsidRPr="00B90A24">
        <w:rPr>
          <w:rFonts w:cs="Times New Roman"/>
          <w:sz w:val="28"/>
          <w:szCs w:val="28"/>
        </w:rPr>
        <w:t>(ICIJ, 2014)</w:t>
      </w:r>
      <w:r w:rsidR="00C671DE" w:rsidRPr="00B90A24">
        <w:rPr>
          <w:rFonts w:eastAsia="Verdana" w:cs="Verdana"/>
          <w:sz w:val="28"/>
          <w:szCs w:val="28"/>
          <w:shd w:val="clear" w:color="auto" w:fill="FFFFFF"/>
        </w:rPr>
        <w:fldChar w:fldCharType="end"/>
      </w:r>
      <w:r w:rsidR="00C671DE" w:rsidRPr="00B90A24">
        <w:rPr>
          <w:rFonts w:eastAsia="Verdana" w:cs="Verdana"/>
          <w:sz w:val="28"/>
          <w:szCs w:val="28"/>
          <w:shd w:val="clear" w:color="auto" w:fill="FFFFFF"/>
        </w:rPr>
        <w:t xml:space="preserve"> </w:t>
      </w:r>
      <w:r w:rsidRPr="00B90A24">
        <w:rPr>
          <w:rFonts w:eastAsia="Verdana" w:cs="Verdana"/>
          <w:sz w:val="28"/>
          <w:szCs w:val="28"/>
          <w:shd w:val="clear" w:color="auto" w:fill="FFFFFF"/>
        </w:rPr>
        <w:t xml:space="preserve">and the European Commission’s decisions on illegal state aid from countries including Ireland, Luxemburg </w:t>
      </w:r>
      <w:r w:rsidRPr="00B90A24">
        <w:rPr>
          <w:rFonts w:eastAsia="Verdana" w:cs="Verdana"/>
          <w:color w:val="333333"/>
          <w:sz w:val="28"/>
          <w:szCs w:val="28"/>
          <w:shd w:val="clear" w:color="auto" w:fill="FFFFFF"/>
        </w:rPr>
        <w:t xml:space="preserve">and the </w:t>
      </w:r>
      <w:r w:rsidRPr="00B90A24">
        <w:rPr>
          <w:rFonts w:eastAsia="Verdana" w:cs="Verdana"/>
          <w:color w:val="333333"/>
          <w:sz w:val="28"/>
          <w:szCs w:val="28"/>
          <w:shd w:val="clear" w:color="auto" w:fill="FFFFFF"/>
        </w:rPr>
        <w:lastRenderedPageBreak/>
        <w:t>Netherlands</w:t>
      </w:r>
      <w:r w:rsidR="00C671DE" w:rsidRPr="00B90A24">
        <w:rPr>
          <w:rFonts w:eastAsia="Verdana" w:cs="Verdana"/>
          <w:color w:val="333333"/>
          <w:sz w:val="28"/>
          <w:szCs w:val="28"/>
          <w:shd w:val="clear" w:color="auto" w:fill="FFFFFF"/>
        </w:rPr>
        <w:t xml:space="preserve"> </w:t>
      </w:r>
      <w:r w:rsidR="00C671DE" w:rsidRPr="00B90A24">
        <w:rPr>
          <w:rFonts w:eastAsia="Verdana" w:cs="Verdana"/>
          <w:color w:val="333333"/>
          <w:sz w:val="28"/>
          <w:szCs w:val="28"/>
          <w:shd w:val="clear" w:color="auto" w:fill="FFFFFF"/>
        </w:rPr>
        <w:fldChar w:fldCharType="begin"/>
      </w:r>
      <w:r w:rsidR="00500851" w:rsidRPr="00B90A24">
        <w:rPr>
          <w:rFonts w:eastAsia="Verdana" w:cs="Verdana"/>
          <w:color w:val="333333"/>
          <w:sz w:val="28"/>
          <w:szCs w:val="28"/>
          <w:shd w:val="clear" w:color="auto" w:fill="FFFFFF"/>
        </w:rPr>
        <w:instrText xml:space="preserve"> ADDIN ZOTERO_ITEM CSL_CITATION {"citationID":"3e0pXvpg","properties":{"formattedCitation":"(cf. European Commission, n.d.)","plainCitation":"(cf. European Commission, n.d.)","noteIndex":0},"citationItems":[{"id":5581,"uris":["http://zotero.org/groups/997303/items/LP68DU2H"],"uri":["http://zotero.org/groups/997303/items/LP68DU2H"],"itemData":{"id":5581,"type":"webpage","title":"State aid control","URL":"https://ec.europa.eu/competition/state_aid/overview/index_en.html","author":[{"family":"European Commission","given":""}],"accessed":{"date-parts":[["2020",4,3]]}},"prefix":"cf. "}],"schema":"https://github.com/citation-style-language/schema/raw/master/csl-citation.json"} </w:instrText>
      </w:r>
      <w:r w:rsidR="00C671DE" w:rsidRPr="00B90A24">
        <w:rPr>
          <w:rFonts w:eastAsia="Verdana" w:cs="Verdana"/>
          <w:color w:val="333333"/>
          <w:sz w:val="28"/>
          <w:szCs w:val="28"/>
          <w:shd w:val="clear" w:color="auto" w:fill="FFFFFF"/>
        </w:rPr>
        <w:fldChar w:fldCharType="separate"/>
      </w:r>
      <w:r w:rsidR="00B133DE" w:rsidRPr="00B90A24">
        <w:rPr>
          <w:rFonts w:cs="Times New Roman"/>
          <w:sz w:val="28"/>
          <w:szCs w:val="28"/>
        </w:rPr>
        <w:t>(cf. European Commission, n.d.)</w:t>
      </w:r>
      <w:r w:rsidR="00C671DE" w:rsidRPr="00B90A24">
        <w:rPr>
          <w:rFonts w:eastAsia="Verdana" w:cs="Verdana"/>
          <w:color w:val="333333"/>
          <w:sz w:val="28"/>
          <w:szCs w:val="28"/>
          <w:shd w:val="clear" w:color="auto" w:fill="FFFFFF"/>
        </w:rPr>
        <w:fldChar w:fldCharType="end"/>
      </w:r>
      <w:r w:rsidRPr="00B90A24">
        <w:rPr>
          <w:rFonts w:eastAsia="Verdana" w:cs="Verdana"/>
          <w:color w:val="333333"/>
          <w:sz w:val="28"/>
          <w:szCs w:val="28"/>
          <w:shd w:val="clear" w:color="auto" w:fill="FFFFFF"/>
        </w:rPr>
        <w:t>.</w:t>
      </w:r>
      <w:r w:rsidRPr="00B90A24">
        <w:rPr>
          <w:rFonts w:eastAsia="Verdana" w:cs="Verdana"/>
          <w:color w:val="000000"/>
          <w:sz w:val="28"/>
          <w:szCs w:val="28"/>
          <w:lang w:eastAsia="en-GB"/>
        </w:rPr>
        <w:t xml:space="preserve"> Furthermore, as long as thresholds </w:t>
      </w:r>
      <w:r w:rsidR="00FA1CBD" w:rsidRPr="00B90A24">
        <w:rPr>
          <w:rFonts w:eastAsia="Verdana" w:cs="Verdana"/>
          <w:color w:val="000000"/>
          <w:sz w:val="28"/>
          <w:szCs w:val="28"/>
          <w:lang w:eastAsia="en-GB"/>
        </w:rPr>
        <w:t xml:space="preserve">set </w:t>
      </w:r>
      <w:r w:rsidRPr="00B90A24">
        <w:rPr>
          <w:rFonts w:eastAsia="Verdana" w:cs="Verdana"/>
          <w:color w:val="000000"/>
          <w:sz w:val="28"/>
          <w:szCs w:val="28"/>
          <w:lang w:eastAsia="en-GB"/>
        </w:rPr>
        <w:t xml:space="preserve">by any nexus rules </w:t>
      </w:r>
      <w:r w:rsidR="000448CA" w:rsidRPr="00B90A24">
        <w:rPr>
          <w:rFonts w:eastAsia="Verdana" w:cs="Verdana"/>
          <w:color w:val="000000"/>
          <w:sz w:val="28"/>
          <w:szCs w:val="28"/>
          <w:lang w:eastAsia="en-GB"/>
        </w:rPr>
        <w:t>permit entitlement to</w:t>
      </w:r>
      <w:r w:rsidR="00791006" w:rsidRPr="00B90A24">
        <w:rPr>
          <w:rFonts w:eastAsia="Verdana" w:cs="Verdana"/>
          <w:color w:val="000000"/>
          <w:sz w:val="28"/>
          <w:szCs w:val="28"/>
          <w:lang w:eastAsia="en-GB"/>
        </w:rPr>
        <w:t xml:space="preserve"> full tax benefits</w:t>
      </w:r>
      <w:r w:rsidRPr="00B90A24">
        <w:rPr>
          <w:rFonts w:eastAsia="Verdana" w:cs="Verdana"/>
          <w:color w:val="000000"/>
          <w:sz w:val="28"/>
          <w:szCs w:val="28"/>
          <w:lang w:eastAsia="en-GB"/>
        </w:rPr>
        <w:t xml:space="preserve">, the amounts of profit to be attributed to the patents can be easily manipulated under the existing indeterminacy of transfer pricing rules. Therefore, the abuse of patent boxes with a nexus constraint can hardly be prevented. Nonetheless, we acknowledge that the nexus approach has so far only been implemented for a short period and there is not enough robust evidence and studies to confirm our arguments for its </w:t>
      </w:r>
      <w:r w:rsidR="00070444" w:rsidRPr="00B90A24">
        <w:rPr>
          <w:rFonts w:eastAsia="Verdana" w:cs="Verdana"/>
          <w:color w:val="000000"/>
          <w:sz w:val="28"/>
          <w:szCs w:val="28"/>
          <w:lang w:eastAsia="en-GB"/>
        </w:rPr>
        <w:t>inadequacy</w:t>
      </w:r>
      <w:r w:rsidRPr="00B90A24">
        <w:rPr>
          <w:rFonts w:eastAsia="Verdana" w:cs="Verdana"/>
          <w:color w:val="000000"/>
          <w:sz w:val="28"/>
          <w:szCs w:val="28"/>
          <w:lang w:eastAsia="en-GB"/>
        </w:rPr>
        <w:t xml:space="preserve">. </w:t>
      </w:r>
    </w:p>
    <w:p w14:paraId="7B88E584" w14:textId="77777777" w:rsidR="00783A4C" w:rsidRPr="00B90A24" w:rsidRDefault="00783A4C" w:rsidP="00B90A24">
      <w:pPr>
        <w:spacing w:after="0" w:line="240" w:lineRule="auto"/>
        <w:ind w:left="567" w:right="890"/>
        <w:jc w:val="both"/>
        <w:rPr>
          <w:rFonts w:eastAsia="Verdana" w:cs="Verdana"/>
          <w:color w:val="000000"/>
          <w:sz w:val="28"/>
          <w:szCs w:val="28"/>
          <w:lang w:eastAsia="en-GB"/>
        </w:rPr>
      </w:pPr>
    </w:p>
    <w:p w14:paraId="6518355F" w14:textId="0B7EFAB9" w:rsidR="00950F58" w:rsidRDefault="00950F58" w:rsidP="00B90A24">
      <w:pPr>
        <w:spacing w:after="0" w:line="240" w:lineRule="auto"/>
        <w:ind w:left="567" w:right="890"/>
        <w:jc w:val="both"/>
        <w:rPr>
          <w:rFonts w:eastAsia="Verdana" w:cs="Verdana"/>
          <w:color w:val="000000"/>
          <w:sz w:val="28"/>
          <w:szCs w:val="28"/>
          <w:lang w:eastAsia="en-GB"/>
        </w:rPr>
      </w:pPr>
      <w:r w:rsidRPr="00B90A24">
        <w:rPr>
          <w:rFonts w:eastAsia="Verdana" w:cs="Verdana"/>
          <w:color w:val="000000"/>
          <w:sz w:val="28"/>
          <w:szCs w:val="28"/>
          <w:lang w:eastAsia="en-GB"/>
        </w:rPr>
        <w:t xml:space="preserve">In acknowledging the lack of empirical validation of the nexus’ rules inefficacy, the Corporate Tax Haven Index reduces the haven score by 10 for </w:t>
      </w:r>
      <w:r w:rsidRPr="00B90A24">
        <w:rPr>
          <w:rFonts w:eastAsia="Verdana" w:cs="Verdana"/>
          <w:sz w:val="28"/>
          <w:szCs w:val="28"/>
        </w:rPr>
        <w:t xml:space="preserve">jurisdictions that offer patent box regimes in line with the OECD nexus approach. </w:t>
      </w:r>
      <w:r w:rsidRPr="00B90A24">
        <w:rPr>
          <w:rFonts w:eastAsia="Verdana" w:cs="Verdana"/>
          <w:color w:val="000000"/>
          <w:sz w:val="28"/>
          <w:szCs w:val="28"/>
          <w:lang w:eastAsia="en-GB"/>
        </w:rPr>
        <w:t>A haven score of zero for this indicator is provided only if the jurisdiction has not introduced a</w:t>
      </w:r>
      <w:r w:rsidR="00794D3C" w:rsidRPr="00B90A24">
        <w:rPr>
          <w:rFonts w:eastAsia="Verdana" w:cs="Verdana"/>
          <w:color w:val="000000"/>
          <w:sz w:val="28"/>
          <w:szCs w:val="28"/>
          <w:lang w:eastAsia="en-GB"/>
        </w:rPr>
        <w:t>ny</w:t>
      </w:r>
      <w:r w:rsidRPr="00B90A24">
        <w:rPr>
          <w:rFonts w:eastAsia="Verdana" w:cs="Verdana"/>
          <w:color w:val="000000"/>
          <w:sz w:val="28"/>
          <w:szCs w:val="28"/>
          <w:lang w:eastAsia="en-GB"/>
        </w:rPr>
        <w:t xml:space="preserve"> patent box regime</w:t>
      </w:r>
      <w:r w:rsidR="00794D3C" w:rsidRPr="00B90A24">
        <w:rPr>
          <w:rFonts w:eastAsia="Verdana" w:cs="Verdana"/>
          <w:color w:val="000000"/>
          <w:sz w:val="28"/>
          <w:szCs w:val="28"/>
          <w:lang w:eastAsia="en-GB"/>
        </w:rPr>
        <w:t xml:space="preserve"> at all</w:t>
      </w:r>
      <w:r w:rsidRPr="00B90A24">
        <w:rPr>
          <w:rFonts w:eastAsia="Verdana" w:cs="Verdana"/>
          <w:color w:val="000000"/>
          <w:sz w:val="28"/>
          <w:szCs w:val="28"/>
          <w:lang w:eastAsia="en-GB"/>
        </w:rPr>
        <w:t xml:space="preserve">. A haven score of 100 is given if the jurisdiction offers a patent box regime without OECD nexus constraints or if the patent box regime is </w:t>
      </w:r>
      <w:r w:rsidR="00DB4872" w:rsidRPr="00B90A24">
        <w:rPr>
          <w:rFonts w:eastAsia="Verdana" w:cs="Verdana"/>
          <w:color w:val="000000"/>
          <w:sz w:val="28"/>
          <w:szCs w:val="28"/>
          <w:lang w:eastAsia="en-GB"/>
        </w:rPr>
        <w:t xml:space="preserve">irrelevant </w:t>
      </w:r>
      <w:r w:rsidRPr="00B90A24">
        <w:rPr>
          <w:rFonts w:eastAsia="Verdana" w:cs="Verdana"/>
          <w:color w:val="000000"/>
          <w:sz w:val="28"/>
          <w:szCs w:val="28"/>
          <w:lang w:eastAsia="en-GB"/>
        </w:rPr>
        <w:t xml:space="preserve">for the jurisdiction </w:t>
      </w:r>
      <w:r w:rsidR="001F14B5" w:rsidRPr="00B90A24">
        <w:rPr>
          <w:rFonts w:eastAsia="Verdana" w:cs="Verdana"/>
          <w:color w:val="000000"/>
          <w:sz w:val="28"/>
          <w:szCs w:val="28"/>
          <w:lang w:eastAsia="en-GB"/>
        </w:rPr>
        <w:t xml:space="preserve">in cases </w:t>
      </w:r>
      <w:r w:rsidR="00070444" w:rsidRPr="00B90A24">
        <w:rPr>
          <w:rFonts w:eastAsia="Verdana" w:cs="Verdana"/>
          <w:color w:val="000000"/>
          <w:sz w:val="28"/>
          <w:szCs w:val="28"/>
          <w:lang w:eastAsia="en-GB"/>
        </w:rPr>
        <w:t xml:space="preserve">where a jurisdiction </w:t>
      </w:r>
      <w:r w:rsidRPr="00B90A24">
        <w:rPr>
          <w:rFonts w:eastAsia="Verdana" w:cs="Verdana"/>
          <w:color w:val="000000"/>
          <w:sz w:val="28"/>
          <w:szCs w:val="28"/>
          <w:lang w:eastAsia="en-GB"/>
        </w:rPr>
        <w:t>imposes no corporate income tax or a zero statutory tax rate.</w:t>
      </w:r>
      <w:r w:rsidR="00322BB2" w:rsidRPr="00B90A24">
        <w:rPr>
          <w:rFonts w:eastAsia="Verdana" w:cs="Verdana"/>
          <w:color w:val="000000"/>
          <w:sz w:val="28"/>
          <w:szCs w:val="28"/>
          <w:lang w:eastAsia="en-GB"/>
        </w:rPr>
        <w:t xml:space="preserve"> </w:t>
      </w:r>
      <w:r w:rsidR="00343515" w:rsidRPr="00B90A24">
        <w:rPr>
          <w:rFonts w:eastAsia="Verdana" w:cs="Verdana"/>
          <w:color w:val="000000"/>
          <w:sz w:val="28"/>
          <w:szCs w:val="28"/>
          <w:lang w:eastAsia="en-GB"/>
        </w:rPr>
        <w:t xml:space="preserve">As presented in </w:t>
      </w:r>
      <w:r w:rsidR="00343515" w:rsidRPr="00B90A24">
        <w:rPr>
          <w:rFonts w:eastAsia="Verdana" w:cs="Verdana"/>
          <w:color w:val="000000"/>
          <w:sz w:val="28"/>
          <w:szCs w:val="28"/>
          <w:lang w:eastAsia="en-GB"/>
        </w:rPr>
        <w:fldChar w:fldCharType="begin"/>
      </w:r>
      <w:r w:rsidR="00343515" w:rsidRPr="00B90A24">
        <w:rPr>
          <w:rFonts w:eastAsia="Verdana" w:cs="Verdana"/>
          <w:color w:val="000000"/>
          <w:sz w:val="28"/>
          <w:szCs w:val="28"/>
          <w:lang w:eastAsia="en-GB"/>
        </w:rPr>
        <w:instrText xml:space="preserve"> REF _Ref43447751 \h </w:instrText>
      </w:r>
      <w:r w:rsidR="00595FF1" w:rsidRPr="00B90A24">
        <w:rPr>
          <w:rFonts w:eastAsia="Verdana" w:cs="Verdana"/>
          <w:color w:val="000000"/>
          <w:sz w:val="28"/>
          <w:szCs w:val="28"/>
          <w:lang w:eastAsia="en-GB"/>
        </w:rPr>
        <w:instrText xml:space="preserve"> \* MERGEFORMAT </w:instrText>
      </w:r>
      <w:r w:rsidR="00343515" w:rsidRPr="00B90A24">
        <w:rPr>
          <w:rFonts w:eastAsia="Verdana" w:cs="Verdana"/>
          <w:color w:val="000000"/>
          <w:sz w:val="28"/>
          <w:szCs w:val="28"/>
          <w:lang w:eastAsia="en-GB"/>
        </w:rPr>
      </w:r>
      <w:r w:rsidR="00343515" w:rsidRPr="00B90A24">
        <w:rPr>
          <w:rFonts w:eastAsia="Verdana" w:cs="Verdana"/>
          <w:color w:val="000000"/>
          <w:sz w:val="28"/>
          <w:szCs w:val="28"/>
          <w:lang w:eastAsia="en-GB"/>
        </w:rPr>
        <w:fldChar w:fldCharType="separate"/>
      </w:r>
      <w:r w:rsidR="00343515" w:rsidRPr="00B90A24">
        <w:rPr>
          <w:sz w:val="28"/>
          <w:szCs w:val="28"/>
        </w:rPr>
        <w:t xml:space="preserve">Figure </w:t>
      </w:r>
      <w:r w:rsidR="00343515" w:rsidRPr="00B90A24">
        <w:rPr>
          <w:noProof/>
          <w:sz w:val="28"/>
          <w:szCs w:val="28"/>
        </w:rPr>
        <w:t>8</w:t>
      </w:r>
      <w:r w:rsidR="00343515" w:rsidRPr="00B90A24">
        <w:rPr>
          <w:rFonts w:eastAsia="Verdana" w:cs="Verdana"/>
          <w:color w:val="000000"/>
          <w:sz w:val="28"/>
          <w:szCs w:val="28"/>
          <w:lang w:eastAsia="en-GB"/>
        </w:rPr>
        <w:fldChar w:fldCharType="end"/>
      </w:r>
      <w:r w:rsidR="00343515" w:rsidRPr="00B90A24">
        <w:rPr>
          <w:rFonts w:eastAsia="Verdana" w:cs="Verdana"/>
          <w:color w:val="000000"/>
          <w:sz w:val="28"/>
          <w:szCs w:val="28"/>
          <w:lang w:eastAsia="en-GB"/>
        </w:rPr>
        <w:t>, i</w:t>
      </w:r>
      <w:r w:rsidRPr="00B90A24">
        <w:rPr>
          <w:rFonts w:eastAsia="Verdana" w:cs="Verdana"/>
          <w:color w:val="000000"/>
          <w:sz w:val="28"/>
          <w:szCs w:val="28"/>
          <w:lang w:eastAsia="en-GB"/>
        </w:rPr>
        <w:t xml:space="preserve">n Africa, five jurisdictions do not have preferential patent box regimes, while Mauritius, Seychelles and Botswana have these in place. Here, it is evident again that the responsibility for addressing tax avoidance risks primarily lies with OECD and </w:t>
      </w:r>
      <w:r w:rsidR="00340231" w:rsidRPr="00B90A24">
        <w:rPr>
          <w:rFonts w:eastAsia="Verdana" w:cs="Verdana"/>
          <w:color w:val="000000"/>
          <w:sz w:val="28"/>
          <w:szCs w:val="28"/>
          <w:lang w:eastAsia="en-GB"/>
        </w:rPr>
        <w:t>EU</w:t>
      </w:r>
      <w:r w:rsidRPr="00B90A24">
        <w:rPr>
          <w:rFonts w:eastAsia="Verdana" w:cs="Verdana"/>
          <w:color w:val="000000"/>
          <w:sz w:val="28"/>
          <w:szCs w:val="28"/>
          <w:lang w:eastAsia="en-GB"/>
        </w:rPr>
        <w:t xml:space="preserve"> countries</w:t>
      </w:r>
      <w:r w:rsidR="00C671DE" w:rsidRPr="00B90A24">
        <w:rPr>
          <w:rFonts w:eastAsia="Verdana" w:cs="Verdana"/>
          <w:color w:val="000000"/>
          <w:sz w:val="28"/>
          <w:szCs w:val="28"/>
          <w:lang w:eastAsia="en-GB"/>
        </w:rPr>
        <w:t xml:space="preserve">. </w:t>
      </w:r>
    </w:p>
    <w:p w14:paraId="21655337" w14:textId="77777777" w:rsidR="00D7338C" w:rsidRPr="00B90A24" w:rsidRDefault="00D7338C" w:rsidP="00B90A24">
      <w:pPr>
        <w:spacing w:after="0" w:line="240" w:lineRule="auto"/>
        <w:ind w:left="567" w:right="890"/>
        <w:jc w:val="both"/>
        <w:rPr>
          <w:rFonts w:eastAsia="Verdana" w:cs="Verdana"/>
          <w:color w:val="000000"/>
          <w:sz w:val="28"/>
          <w:szCs w:val="28"/>
          <w:lang w:eastAsia="en-GB"/>
        </w:rPr>
      </w:pPr>
    </w:p>
    <w:p w14:paraId="3FFD1252" w14:textId="77777777" w:rsidR="00783A4C" w:rsidRPr="00B90A24" w:rsidRDefault="00783A4C" w:rsidP="00B90A24">
      <w:pPr>
        <w:spacing w:after="0" w:line="240" w:lineRule="auto"/>
        <w:ind w:left="567" w:right="890"/>
        <w:jc w:val="both"/>
        <w:rPr>
          <w:rFonts w:eastAsia="Verdana" w:cs="Verdana"/>
          <w:sz w:val="28"/>
          <w:szCs w:val="28"/>
          <w:lang w:bidi="he-IL"/>
        </w:rPr>
      </w:pPr>
    </w:p>
    <w:p w14:paraId="0A77D4AD" w14:textId="4C8050D0" w:rsidR="00883811" w:rsidRPr="00B90A24" w:rsidRDefault="00883811" w:rsidP="00B90A24">
      <w:pPr>
        <w:pStyle w:val="Caption"/>
        <w:spacing w:after="0"/>
        <w:ind w:left="851"/>
        <w:rPr>
          <w:sz w:val="28"/>
          <w:szCs w:val="28"/>
        </w:rPr>
      </w:pPr>
      <w:bookmarkStart w:id="30" w:name="_Hlk36806713"/>
      <w:bookmarkStart w:id="31" w:name="_Toc17883045"/>
      <w:r w:rsidRPr="00B90A24">
        <w:rPr>
          <w:noProof/>
          <w:sz w:val="28"/>
          <w:szCs w:val="28"/>
        </w:rPr>
        <w:drawing>
          <wp:inline distT="0" distB="0" distL="0" distR="0" wp14:anchorId="71A90CB5" wp14:editId="1AD6188B">
            <wp:extent cx="5528604" cy="2790190"/>
            <wp:effectExtent l="0" t="0" r="8890" b="16510"/>
            <wp:docPr id="15" name="Chart 15">
              <a:extLst xmlns:a="http://schemas.openxmlformats.org/drawingml/2006/main">
                <a:ext uri="{FF2B5EF4-FFF2-40B4-BE49-F238E27FC236}">
                  <a16:creationId xmlns:a16="http://schemas.microsoft.com/office/drawing/2014/main" id="{71AD8454-5136-4A9C-B251-DA5F2CFD2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A96E09" w14:textId="601F9F8D" w:rsidR="00783A4C" w:rsidRPr="00B90A24" w:rsidRDefault="00950F58" w:rsidP="00B90A24">
      <w:pPr>
        <w:pStyle w:val="Caption"/>
        <w:spacing w:after="0"/>
        <w:ind w:left="851"/>
        <w:rPr>
          <w:sz w:val="28"/>
          <w:szCs w:val="28"/>
        </w:rPr>
      </w:pPr>
      <w:bookmarkStart w:id="32" w:name="_Ref43447751"/>
      <w:r w:rsidRPr="00B90A24">
        <w:rPr>
          <w:sz w:val="28"/>
          <w:szCs w:val="28"/>
        </w:rPr>
        <w:t xml:space="preserve">Figure </w:t>
      </w:r>
      <w:r w:rsidRPr="00B90A24">
        <w:rPr>
          <w:sz w:val="28"/>
          <w:szCs w:val="28"/>
        </w:rPr>
        <w:fldChar w:fldCharType="begin"/>
      </w:r>
      <w:r w:rsidRPr="00B90A24">
        <w:rPr>
          <w:sz w:val="28"/>
          <w:szCs w:val="28"/>
        </w:rPr>
        <w:instrText xml:space="preserve"> SEQ Figure \* ARABIC </w:instrText>
      </w:r>
      <w:r w:rsidRPr="00B90A24">
        <w:rPr>
          <w:sz w:val="28"/>
          <w:szCs w:val="28"/>
        </w:rPr>
        <w:fldChar w:fldCharType="separate"/>
      </w:r>
      <w:r w:rsidR="000448CA" w:rsidRPr="00B90A24">
        <w:rPr>
          <w:noProof/>
          <w:sz w:val="28"/>
          <w:szCs w:val="28"/>
        </w:rPr>
        <w:t>8</w:t>
      </w:r>
      <w:r w:rsidRPr="00B90A24">
        <w:rPr>
          <w:sz w:val="28"/>
          <w:szCs w:val="28"/>
        </w:rPr>
        <w:fldChar w:fldCharType="end"/>
      </w:r>
      <w:bookmarkEnd w:id="32"/>
      <w:r w:rsidRPr="00B90A24">
        <w:rPr>
          <w:sz w:val="28"/>
          <w:szCs w:val="28"/>
        </w:rPr>
        <w:t>. Haven Indicator 7: Patent Boxes</w:t>
      </w:r>
      <w:bookmarkEnd w:id="30"/>
      <w:bookmarkEnd w:id="31"/>
    </w:p>
    <w:p w14:paraId="06BD90E1" w14:textId="77777777" w:rsidR="00783A4C" w:rsidRPr="00B90A24" w:rsidRDefault="00783A4C" w:rsidP="00B90A24">
      <w:pPr>
        <w:pStyle w:val="Heading2"/>
        <w:numPr>
          <w:ilvl w:val="0"/>
          <w:numId w:val="0"/>
        </w:numPr>
        <w:spacing w:before="0" w:line="240" w:lineRule="auto"/>
        <w:ind w:left="720"/>
        <w:rPr>
          <w:i/>
          <w:color w:val="0070C0"/>
          <w:sz w:val="28"/>
          <w:szCs w:val="28"/>
        </w:rPr>
      </w:pPr>
      <w:bookmarkStart w:id="33" w:name="_Toc17879119"/>
    </w:p>
    <w:p w14:paraId="1777EACC" w14:textId="2E762D88" w:rsidR="00AF60AC" w:rsidRPr="00B90A24" w:rsidRDefault="00AF60AC" w:rsidP="00B90A24">
      <w:pPr>
        <w:pStyle w:val="Heading2"/>
        <w:numPr>
          <w:ilvl w:val="1"/>
          <w:numId w:val="21"/>
        </w:numPr>
        <w:spacing w:before="0" w:line="240" w:lineRule="auto"/>
        <w:ind w:left="851" w:right="606" w:hanging="425"/>
        <w:rPr>
          <w:i/>
          <w:color w:val="0070C0"/>
          <w:sz w:val="28"/>
          <w:szCs w:val="28"/>
        </w:rPr>
      </w:pPr>
      <w:r w:rsidRPr="00B90A24">
        <w:rPr>
          <w:i/>
          <w:color w:val="0070C0"/>
          <w:sz w:val="28"/>
          <w:szCs w:val="28"/>
        </w:rPr>
        <w:t>Transparency</w:t>
      </w:r>
      <w:bookmarkEnd w:id="33"/>
    </w:p>
    <w:p w14:paraId="75FF3D08" w14:textId="77777777" w:rsidR="00783A4C" w:rsidRPr="00B90A24" w:rsidRDefault="00783A4C" w:rsidP="00B90A24">
      <w:pPr>
        <w:spacing w:after="0" w:line="240" w:lineRule="auto"/>
        <w:ind w:left="851" w:right="606"/>
        <w:jc w:val="both"/>
        <w:rPr>
          <w:sz w:val="28"/>
          <w:szCs w:val="28"/>
        </w:rPr>
      </w:pPr>
    </w:p>
    <w:p w14:paraId="7512A858" w14:textId="170ED612" w:rsidR="00AF60AC" w:rsidRPr="00B90A24" w:rsidRDefault="00AF60AC" w:rsidP="00B90A24">
      <w:pPr>
        <w:spacing w:after="0" w:line="240" w:lineRule="auto"/>
        <w:ind w:left="851" w:right="606"/>
        <w:jc w:val="both"/>
        <w:rPr>
          <w:sz w:val="28"/>
          <w:szCs w:val="28"/>
        </w:rPr>
      </w:pPr>
      <w:r w:rsidRPr="00B90A24">
        <w:rPr>
          <w:sz w:val="28"/>
          <w:szCs w:val="28"/>
        </w:rPr>
        <w:t>The category on transparency in the Corporate Tax Haven Index</w:t>
      </w:r>
      <w:r w:rsidR="00713714" w:rsidRPr="00B90A24">
        <w:rPr>
          <w:sz w:val="28"/>
          <w:szCs w:val="28"/>
        </w:rPr>
        <w:t xml:space="preserve"> cons</w:t>
      </w:r>
      <w:r w:rsidR="00996B00" w:rsidRPr="00B90A24">
        <w:rPr>
          <w:sz w:val="28"/>
          <w:szCs w:val="28"/>
        </w:rPr>
        <w:t xml:space="preserve">ists </w:t>
      </w:r>
      <w:r w:rsidRPr="00B90A24">
        <w:rPr>
          <w:sz w:val="28"/>
          <w:szCs w:val="28"/>
        </w:rPr>
        <w:t xml:space="preserve">of six </w:t>
      </w:r>
      <w:r w:rsidR="00996B00" w:rsidRPr="00B90A24">
        <w:rPr>
          <w:sz w:val="28"/>
          <w:szCs w:val="28"/>
        </w:rPr>
        <w:t xml:space="preserve">haven </w:t>
      </w:r>
      <w:r w:rsidRPr="00B90A24">
        <w:rPr>
          <w:sz w:val="28"/>
          <w:szCs w:val="28"/>
        </w:rPr>
        <w:t>indicators</w:t>
      </w:r>
      <w:r w:rsidR="00883811" w:rsidRPr="00B90A24">
        <w:rPr>
          <w:sz w:val="28"/>
          <w:szCs w:val="28"/>
        </w:rPr>
        <w:t xml:space="preserve"> that</w:t>
      </w:r>
      <w:r w:rsidR="00996B00" w:rsidRPr="00B90A24">
        <w:rPr>
          <w:sz w:val="28"/>
          <w:szCs w:val="28"/>
        </w:rPr>
        <w:t xml:space="preserve"> </w:t>
      </w:r>
      <w:r w:rsidRPr="00B90A24">
        <w:rPr>
          <w:sz w:val="28"/>
          <w:szCs w:val="28"/>
        </w:rPr>
        <w:t>prob</w:t>
      </w:r>
      <w:r w:rsidR="00883811" w:rsidRPr="00B90A24">
        <w:rPr>
          <w:sz w:val="28"/>
          <w:szCs w:val="28"/>
        </w:rPr>
        <w:t xml:space="preserve">e </w:t>
      </w:r>
      <w:r w:rsidRPr="00B90A24">
        <w:rPr>
          <w:sz w:val="28"/>
          <w:szCs w:val="28"/>
        </w:rPr>
        <w:t xml:space="preserve">whether corporations and governments are able to hide </w:t>
      </w:r>
      <w:r w:rsidRPr="00B90A24">
        <w:rPr>
          <w:sz w:val="28"/>
          <w:szCs w:val="28"/>
        </w:rPr>
        <w:lastRenderedPageBreak/>
        <w:t xml:space="preserve">their financial affairs and decisions regarding taxation, such as unilateral tax rulings and tax court proceedings and rulings, and if companies are required to file their accounts and make them publicly available. In addition, </w:t>
      </w:r>
      <w:r w:rsidR="00D052C2" w:rsidRPr="00B90A24">
        <w:rPr>
          <w:sz w:val="28"/>
          <w:szCs w:val="28"/>
        </w:rPr>
        <w:t xml:space="preserve">regulations </w:t>
      </w:r>
      <w:r w:rsidRPr="00B90A24">
        <w:rPr>
          <w:sz w:val="28"/>
          <w:szCs w:val="28"/>
        </w:rPr>
        <w:t xml:space="preserve">for public and local </w:t>
      </w:r>
      <w:r w:rsidR="00150884" w:rsidRPr="00B90A24">
        <w:rPr>
          <w:sz w:val="28"/>
          <w:szCs w:val="28"/>
        </w:rPr>
        <w:t>country by country</w:t>
      </w:r>
      <w:r w:rsidRPr="00B90A24">
        <w:rPr>
          <w:sz w:val="28"/>
          <w:szCs w:val="28"/>
        </w:rPr>
        <w:t xml:space="preserve"> reporting are assessed </w:t>
      </w:r>
      <w:r w:rsidR="00D052C2" w:rsidRPr="00B90A24">
        <w:rPr>
          <w:sz w:val="28"/>
          <w:szCs w:val="28"/>
        </w:rPr>
        <w:t xml:space="preserve">because </w:t>
      </w:r>
      <w:r w:rsidRPr="00B90A24">
        <w:rPr>
          <w:sz w:val="28"/>
          <w:szCs w:val="28"/>
        </w:rPr>
        <w:t xml:space="preserve">jurisdiction-level breakdown of activities, declared profits and taxes paid enable tax authorities to </w:t>
      </w:r>
      <w:r w:rsidR="002C25F2" w:rsidRPr="00B90A24">
        <w:rPr>
          <w:sz w:val="28"/>
          <w:szCs w:val="28"/>
        </w:rPr>
        <w:t xml:space="preserve">mitigate </w:t>
      </w:r>
      <w:r w:rsidRPr="00B90A24">
        <w:rPr>
          <w:sz w:val="28"/>
          <w:szCs w:val="28"/>
        </w:rPr>
        <w:t>tax avoidance risks</w:t>
      </w:r>
      <w:r w:rsidR="00B45886" w:rsidRPr="00B90A24">
        <w:rPr>
          <w:sz w:val="28"/>
          <w:szCs w:val="28"/>
        </w:rPr>
        <w:t xml:space="preserve"> and </w:t>
      </w:r>
      <w:r w:rsidR="00070444" w:rsidRPr="00B90A24">
        <w:rPr>
          <w:sz w:val="28"/>
          <w:szCs w:val="28"/>
        </w:rPr>
        <w:t xml:space="preserve">provide data to </w:t>
      </w:r>
      <w:r w:rsidR="00B45886" w:rsidRPr="00B90A24">
        <w:rPr>
          <w:sz w:val="28"/>
          <w:szCs w:val="28"/>
        </w:rPr>
        <w:t xml:space="preserve">the public to hold both large multinational </w:t>
      </w:r>
      <w:r w:rsidR="00F53367" w:rsidRPr="00B90A24">
        <w:rPr>
          <w:sz w:val="28"/>
          <w:szCs w:val="28"/>
        </w:rPr>
        <w:t>companies and tax administrations to account</w:t>
      </w:r>
      <w:r w:rsidRPr="00B90A24">
        <w:rPr>
          <w:sz w:val="28"/>
          <w:szCs w:val="28"/>
        </w:rPr>
        <w:t>. The haven score for this category is the arithmetic average of the six indicators.</w:t>
      </w:r>
      <w:r w:rsidR="00783A4C" w:rsidRPr="00B90A24">
        <w:rPr>
          <w:sz w:val="28"/>
          <w:szCs w:val="28"/>
        </w:rPr>
        <w:t xml:space="preserve"> </w:t>
      </w:r>
      <w:r w:rsidRPr="00B90A24">
        <w:rPr>
          <w:sz w:val="28"/>
          <w:szCs w:val="28"/>
        </w:rPr>
        <w:t xml:space="preserve">As </w:t>
      </w:r>
      <w:r w:rsidRPr="00B90A24">
        <w:rPr>
          <w:sz w:val="28"/>
          <w:szCs w:val="28"/>
        </w:rPr>
        <w:fldChar w:fldCharType="begin"/>
      </w:r>
      <w:r w:rsidRPr="00B90A24">
        <w:rPr>
          <w:sz w:val="28"/>
          <w:szCs w:val="28"/>
        </w:rPr>
        <w:instrText xml:space="preserve"> REF _Ref10784889 \h </w:instrText>
      </w:r>
      <w:r w:rsidR="00595FF1" w:rsidRPr="00B90A24">
        <w:rPr>
          <w:sz w:val="28"/>
          <w:szCs w:val="28"/>
        </w:rPr>
        <w:instrText xml:space="preserve"> \* MERGEFORMAT </w:instrText>
      </w:r>
      <w:r w:rsidRPr="00B90A24">
        <w:rPr>
          <w:sz w:val="28"/>
          <w:szCs w:val="28"/>
        </w:rPr>
      </w:r>
      <w:r w:rsidRPr="00B90A24">
        <w:rPr>
          <w:sz w:val="28"/>
          <w:szCs w:val="28"/>
        </w:rPr>
        <w:fldChar w:fldCharType="separate"/>
      </w:r>
      <w:r w:rsidR="00B122C4" w:rsidRPr="00B90A24">
        <w:rPr>
          <w:sz w:val="28"/>
          <w:szCs w:val="28"/>
        </w:rPr>
        <w:t xml:space="preserve">Figure </w:t>
      </w:r>
      <w:r w:rsidR="00B122C4" w:rsidRPr="00B90A24">
        <w:rPr>
          <w:noProof/>
          <w:sz w:val="28"/>
          <w:szCs w:val="28"/>
        </w:rPr>
        <w:t>9</w:t>
      </w:r>
      <w:r w:rsidRPr="00B90A24">
        <w:rPr>
          <w:sz w:val="28"/>
          <w:szCs w:val="28"/>
        </w:rPr>
        <w:fldChar w:fldCharType="end"/>
      </w:r>
      <w:r w:rsidRPr="00B90A24">
        <w:rPr>
          <w:sz w:val="28"/>
          <w:szCs w:val="28"/>
        </w:rPr>
        <w:t xml:space="preserve"> shows, African countries on average have a very high haven score in this category, although scores in the </w:t>
      </w:r>
      <w:r w:rsidR="00340231" w:rsidRPr="00B90A24">
        <w:rPr>
          <w:sz w:val="28"/>
          <w:szCs w:val="28"/>
        </w:rPr>
        <w:t>EU</w:t>
      </w:r>
      <w:r w:rsidRPr="00B90A24">
        <w:rPr>
          <w:sz w:val="28"/>
          <w:szCs w:val="28"/>
        </w:rPr>
        <w:t xml:space="preserve"> and the OECD and their dependencies are </w:t>
      </w:r>
      <w:r w:rsidR="002C25F2" w:rsidRPr="00B90A24">
        <w:rPr>
          <w:sz w:val="28"/>
          <w:szCs w:val="28"/>
        </w:rPr>
        <w:t xml:space="preserve">elevated </w:t>
      </w:r>
      <w:r w:rsidRPr="00B90A24">
        <w:rPr>
          <w:sz w:val="28"/>
          <w:szCs w:val="28"/>
        </w:rPr>
        <w:t xml:space="preserve">as well. </w:t>
      </w:r>
    </w:p>
    <w:p w14:paraId="2F3732DA" w14:textId="77777777" w:rsidR="00783A4C" w:rsidRPr="00B90A24" w:rsidRDefault="00783A4C" w:rsidP="00B90A24">
      <w:pPr>
        <w:spacing w:after="0" w:line="240" w:lineRule="auto"/>
        <w:ind w:left="851" w:right="606"/>
        <w:jc w:val="both"/>
        <w:rPr>
          <w:sz w:val="28"/>
          <w:szCs w:val="28"/>
        </w:rPr>
      </w:pPr>
    </w:p>
    <w:p w14:paraId="0F7E965F" w14:textId="77777777" w:rsidR="00745F35" w:rsidRPr="00B90A24" w:rsidRDefault="00883811" w:rsidP="00B90A24">
      <w:pPr>
        <w:pStyle w:val="Caption"/>
        <w:spacing w:after="0"/>
        <w:ind w:left="851"/>
        <w:jc w:val="both"/>
        <w:rPr>
          <w:sz w:val="28"/>
          <w:szCs w:val="28"/>
        </w:rPr>
      </w:pPr>
      <w:bookmarkStart w:id="34" w:name="_Ref10784889"/>
      <w:bookmarkStart w:id="35" w:name="_Toc17883040"/>
      <w:bookmarkStart w:id="36" w:name="_Hlk36807358"/>
      <w:r w:rsidRPr="00B90A24">
        <w:rPr>
          <w:noProof/>
          <w:sz w:val="28"/>
          <w:szCs w:val="28"/>
        </w:rPr>
        <w:drawing>
          <wp:inline distT="0" distB="0" distL="0" distR="0" wp14:anchorId="531DDF28" wp14:editId="30DE3599">
            <wp:extent cx="5542671" cy="3127375"/>
            <wp:effectExtent l="0" t="0" r="7620" b="9525"/>
            <wp:docPr id="3" name="Chart 3">
              <a:extLst xmlns:a="http://schemas.openxmlformats.org/drawingml/2006/main">
                <a:ext uri="{FF2B5EF4-FFF2-40B4-BE49-F238E27FC236}">
                  <a16:creationId xmlns:a16="http://schemas.microsoft.com/office/drawing/2014/main" id="{DFC38CE0-9C3E-48B8-A8B5-9DF02C2281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FA3B01" w14:textId="3B0D7CEE" w:rsidR="00AF60AC" w:rsidRPr="00B90A24" w:rsidRDefault="00AF60AC" w:rsidP="00C5141D">
      <w:pPr>
        <w:pStyle w:val="Caption"/>
        <w:spacing w:after="0"/>
        <w:ind w:left="851" w:right="890"/>
        <w:jc w:val="both"/>
        <w:rPr>
          <w:sz w:val="28"/>
          <w:szCs w:val="28"/>
        </w:rPr>
      </w:pPr>
      <w:r w:rsidRPr="00B90A24">
        <w:rPr>
          <w:sz w:val="28"/>
          <w:szCs w:val="28"/>
        </w:rPr>
        <w:t xml:space="preserve">Figure </w:t>
      </w:r>
      <w:r w:rsidRPr="00B90A24">
        <w:rPr>
          <w:sz w:val="28"/>
          <w:szCs w:val="28"/>
        </w:rPr>
        <w:fldChar w:fldCharType="begin"/>
      </w:r>
      <w:r w:rsidRPr="00B90A24">
        <w:rPr>
          <w:sz w:val="28"/>
          <w:szCs w:val="28"/>
        </w:rPr>
        <w:instrText xml:space="preserve"> SEQ Figure \* ARABIC </w:instrText>
      </w:r>
      <w:r w:rsidRPr="00B90A24">
        <w:rPr>
          <w:sz w:val="28"/>
          <w:szCs w:val="28"/>
        </w:rPr>
        <w:fldChar w:fldCharType="separate"/>
      </w:r>
      <w:r w:rsidR="00343515" w:rsidRPr="00B90A24">
        <w:rPr>
          <w:noProof/>
          <w:sz w:val="28"/>
          <w:szCs w:val="28"/>
        </w:rPr>
        <w:t>9</w:t>
      </w:r>
      <w:r w:rsidRPr="00B90A24">
        <w:rPr>
          <w:sz w:val="28"/>
          <w:szCs w:val="28"/>
        </w:rPr>
        <w:fldChar w:fldCharType="end"/>
      </w:r>
      <w:bookmarkEnd w:id="34"/>
      <w:r w:rsidRPr="00B90A24">
        <w:rPr>
          <w:sz w:val="28"/>
          <w:szCs w:val="28"/>
        </w:rPr>
        <w:t>. Corporate tax haven scores for Africa and averages – Category 3: Transparency</w:t>
      </w:r>
      <w:bookmarkEnd w:id="35"/>
    </w:p>
    <w:bookmarkEnd w:id="36"/>
    <w:p w14:paraId="68D9A117" w14:textId="77777777" w:rsidR="00783A4C" w:rsidRPr="00B90A24" w:rsidRDefault="00783A4C" w:rsidP="00B90A24">
      <w:pPr>
        <w:spacing w:after="0" w:line="240" w:lineRule="auto"/>
        <w:jc w:val="both"/>
        <w:rPr>
          <w:sz w:val="28"/>
          <w:szCs w:val="28"/>
        </w:rPr>
      </w:pPr>
    </w:p>
    <w:p w14:paraId="7AB6859A" w14:textId="2CE61600" w:rsidR="00AF60AC" w:rsidRPr="00B90A24" w:rsidRDefault="00AF60AC" w:rsidP="00B90A24">
      <w:pPr>
        <w:spacing w:after="0" w:line="240" w:lineRule="auto"/>
        <w:ind w:left="709" w:right="890"/>
        <w:jc w:val="both"/>
        <w:rPr>
          <w:sz w:val="28"/>
          <w:szCs w:val="28"/>
        </w:rPr>
      </w:pPr>
      <w:r w:rsidRPr="00B90A24">
        <w:rPr>
          <w:sz w:val="28"/>
          <w:szCs w:val="28"/>
        </w:rPr>
        <w:t xml:space="preserve">Figure </w:t>
      </w:r>
      <w:r w:rsidR="00150884" w:rsidRPr="00B90A24">
        <w:rPr>
          <w:sz w:val="28"/>
          <w:szCs w:val="28"/>
        </w:rPr>
        <w:t>10</w:t>
      </w:r>
      <w:r w:rsidRPr="00B90A24">
        <w:rPr>
          <w:sz w:val="28"/>
          <w:szCs w:val="28"/>
        </w:rPr>
        <w:t xml:space="preserve"> shows the performance of African countries for each indicator compared to the OECD and the </w:t>
      </w:r>
      <w:r w:rsidR="00340231" w:rsidRPr="00B90A24">
        <w:rPr>
          <w:sz w:val="28"/>
          <w:szCs w:val="28"/>
        </w:rPr>
        <w:t>EU</w:t>
      </w:r>
      <w:r w:rsidRPr="00B90A24">
        <w:rPr>
          <w:sz w:val="28"/>
          <w:szCs w:val="28"/>
        </w:rPr>
        <w:t xml:space="preserve">. African countries perform worse than the OECD and the </w:t>
      </w:r>
      <w:r w:rsidR="00340231" w:rsidRPr="00B90A24">
        <w:rPr>
          <w:sz w:val="28"/>
          <w:szCs w:val="28"/>
        </w:rPr>
        <w:t>EU</w:t>
      </w:r>
      <w:r w:rsidRPr="00B90A24">
        <w:rPr>
          <w:sz w:val="28"/>
          <w:szCs w:val="28"/>
        </w:rPr>
        <w:t xml:space="preserve"> on the indicators for publicity of company accounts, country</w:t>
      </w:r>
      <w:r w:rsidR="00150884" w:rsidRPr="00B90A24">
        <w:rPr>
          <w:sz w:val="28"/>
          <w:szCs w:val="28"/>
        </w:rPr>
        <w:t xml:space="preserve"> </w:t>
      </w:r>
      <w:r w:rsidRPr="00B90A24">
        <w:rPr>
          <w:sz w:val="28"/>
          <w:szCs w:val="28"/>
        </w:rPr>
        <w:t>by</w:t>
      </w:r>
      <w:r w:rsidR="00150884" w:rsidRPr="00B90A24">
        <w:rPr>
          <w:sz w:val="28"/>
          <w:szCs w:val="28"/>
        </w:rPr>
        <w:t xml:space="preserve"> </w:t>
      </w:r>
      <w:r w:rsidRPr="00B90A24">
        <w:rPr>
          <w:sz w:val="28"/>
          <w:szCs w:val="28"/>
        </w:rPr>
        <w:t xml:space="preserve">country reporting and local filing of </w:t>
      </w:r>
      <w:r w:rsidR="00150884" w:rsidRPr="00B90A24">
        <w:rPr>
          <w:sz w:val="28"/>
          <w:szCs w:val="28"/>
        </w:rPr>
        <w:t>country by country</w:t>
      </w:r>
      <w:r w:rsidRPr="00B90A24">
        <w:rPr>
          <w:sz w:val="28"/>
          <w:szCs w:val="28"/>
        </w:rPr>
        <w:t xml:space="preserve"> reporting. No African country ensures all company accounts are published online for free, and only Ghana and Mauritius require all companies to submit annual accounts to a public authority. Furthermore, there are no regulations on </w:t>
      </w:r>
      <w:r w:rsidR="00150884" w:rsidRPr="00B90A24">
        <w:rPr>
          <w:sz w:val="28"/>
          <w:szCs w:val="28"/>
        </w:rPr>
        <w:t>country by country</w:t>
      </w:r>
      <w:r w:rsidRPr="00B90A24">
        <w:rPr>
          <w:sz w:val="28"/>
          <w:szCs w:val="28"/>
        </w:rPr>
        <w:t xml:space="preserve"> reporting for multinationals companies headquartered within their borders to </w:t>
      </w:r>
      <w:r w:rsidR="00FA54B8" w:rsidRPr="00B90A24">
        <w:rPr>
          <w:sz w:val="28"/>
          <w:szCs w:val="28"/>
        </w:rPr>
        <w:t xml:space="preserve">publish </w:t>
      </w:r>
      <w:r w:rsidR="00150884" w:rsidRPr="00B90A24">
        <w:rPr>
          <w:sz w:val="28"/>
          <w:szCs w:val="28"/>
        </w:rPr>
        <w:t>country by country</w:t>
      </w:r>
      <w:r w:rsidRPr="00B90A24">
        <w:rPr>
          <w:sz w:val="28"/>
          <w:szCs w:val="28"/>
        </w:rPr>
        <w:t xml:space="preserve"> reports,</w:t>
      </w:r>
      <w:r w:rsidR="00883811" w:rsidRPr="00B90A24">
        <w:rPr>
          <w:sz w:val="28"/>
          <w:szCs w:val="28"/>
        </w:rPr>
        <w:t xml:space="preserve"> and there </w:t>
      </w:r>
      <w:r w:rsidR="00261F3E" w:rsidRPr="00B90A24">
        <w:rPr>
          <w:sz w:val="28"/>
          <w:szCs w:val="28"/>
        </w:rPr>
        <w:t xml:space="preserve">are </w:t>
      </w:r>
      <w:r w:rsidR="00883811" w:rsidRPr="00B90A24">
        <w:rPr>
          <w:sz w:val="28"/>
          <w:szCs w:val="28"/>
        </w:rPr>
        <w:t>no</w:t>
      </w:r>
      <w:r w:rsidR="00261F3E" w:rsidRPr="00B90A24">
        <w:rPr>
          <w:sz w:val="28"/>
          <w:szCs w:val="28"/>
        </w:rPr>
        <w:t xml:space="preserve"> robust local filing obligations for </w:t>
      </w:r>
      <w:r w:rsidRPr="00B90A24">
        <w:rPr>
          <w:sz w:val="28"/>
          <w:szCs w:val="28"/>
        </w:rPr>
        <w:t xml:space="preserve">subsidiaries of multinational companies operating in their country. As for the reporting of tax avoidance schemes, haven scores for the OECD and the </w:t>
      </w:r>
      <w:r w:rsidR="00340231" w:rsidRPr="00B90A24">
        <w:rPr>
          <w:sz w:val="28"/>
          <w:szCs w:val="28"/>
        </w:rPr>
        <w:t>EU</w:t>
      </w:r>
      <w:r w:rsidRPr="00B90A24">
        <w:rPr>
          <w:sz w:val="28"/>
          <w:szCs w:val="28"/>
        </w:rPr>
        <w:t xml:space="preserve"> are as high as the African average. South Africa is the only country that requires taxpayers to report tax avoidance schemes they have used and tax advisers to report tax avoidance schemes they have marketed or sold. No African countries </w:t>
      </w:r>
      <w:r w:rsidRPr="00B90A24">
        <w:rPr>
          <w:sz w:val="28"/>
          <w:szCs w:val="28"/>
        </w:rPr>
        <w:lastRenderedPageBreak/>
        <w:t>require taxpayers or advisers to report uncertain tax positions for which reserves have been created in annual company accounts.</w:t>
      </w:r>
    </w:p>
    <w:p w14:paraId="11E6D96A" w14:textId="77777777" w:rsidR="00783A4C" w:rsidRPr="00B90A24" w:rsidRDefault="00783A4C" w:rsidP="00B90A24">
      <w:pPr>
        <w:spacing w:after="0" w:line="240" w:lineRule="auto"/>
        <w:ind w:left="709" w:right="890"/>
        <w:jc w:val="both"/>
        <w:rPr>
          <w:sz w:val="28"/>
          <w:szCs w:val="28"/>
        </w:rPr>
      </w:pPr>
    </w:p>
    <w:p w14:paraId="473068E5" w14:textId="6816F1F8" w:rsidR="00AF60AC" w:rsidRPr="00B90A24" w:rsidRDefault="00883811" w:rsidP="00D7338C">
      <w:pPr>
        <w:spacing w:after="0" w:line="240" w:lineRule="auto"/>
        <w:ind w:left="709" w:right="890"/>
        <w:jc w:val="both"/>
        <w:rPr>
          <w:sz w:val="28"/>
          <w:szCs w:val="28"/>
        </w:rPr>
      </w:pPr>
      <w:r w:rsidRPr="00B90A24">
        <w:rPr>
          <w:sz w:val="28"/>
          <w:szCs w:val="28"/>
        </w:rPr>
        <w:t>For</w:t>
      </w:r>
      <w:r w:rsidR="00AF60AC" w:rsidRPr="00B90A24">
        <w:rPr>
          <w:sz w:val="28"/>
          <w:szCs w:val="28"/>
        </w:rPr>
        <w:t xml:space="preserve"> tax court transparency and the publication of tax rulings and disclosure of extractive industries contracts</w:t>
      </w:r>
      <w:r w:rsidR="001C31A1" w:rsidRPr="00B90A24">
        <w:rPr>
          <w:sz w:val="28"/>
          <w:szCs w:val="28"/>
        </w:rPr>
        <w:t xml:space="preserve"> (</w:t>
      </w:r>
      <w:r w:rsidR="00AF60AC" w:rsidRPr="00B90A24">
        <w:rPr>
          <w:sz w:val="28"/>
          <w:szCs w:val="28"/>
        </w:rPr>
        <w:t>where applicable</w:t>
      </w:r>
      <w:r w:rsidR="001C31A1" w:rsidRPr="00B90A24">
        <w:rPr>
          <w:sz w:val="28"/>
          <w:szCs w:val="28"/>
        </w:rPr>
        <w:t xml:space="preserve">), </w:t>
      </w:r>
      <w:r w:rsidR="00BD1E5D" w:rsidRPr="00B90A24">
        <w:rPr>
          <w:sz w:val="28"/>
          <w:szCs w:val="28"/>
        </w:rPr>
        <w:t xml:space="preserve">on average </w:t>
      </w:r>
      <w:r w:rsidR="004F7D2D" w:rsidRPr="00B90A24">
        <w:rPr>
          <w:sz w:val="28"/>
          <w:szCs w:val="28"/>
        </w:rPr>
        <w:t>the have</w:t>
      </w:r>
      <w:r w:rsidR="00D47EAD" w:rsidRPr="00B90A24">
        <w:rPr>
          <w:sz w:val="28"/>
          <w:szCs w:val="28"/>
        </w:rPr>
        <w:t xml:space="preserve">n scores of </w:t>
      </w:r>
      <w:r w:rsidR="001C31A1" w:rsidRPr="00B90A24">
        <w:rPr>
          <w:sz w:val="28"/>
          <w:szCs w:val="28"/>
        </w:rPr>
        <w:t>African countries</w:t>
      </w:r>
      <w:r w:rsidR="00D47EAD" w:rsidRPr="00B90A24">
        <w:rPr>
          <w:sz w:val="28"/>
          <w:szCs w:val="28"/>
        </w:rPr>
        <w:t xml:space="preserve"> are slightly lower</w:t>
      </w:r>
      <w:r w:rsidR="00B44C86" w:rsidRPr="00B90A24">
        <w:rPr>
          <w:sz w:val="28"/>
          <w:szCs w:val="28"/>
        </w:rPr>
        <w:t xml:space="preserve"> than in the other </w:t>
      </w:r>
      <w:r w:rsidR="008D1D5B" w:rsidRPr="00B90A24">
        <w:rPr>
          <w:sz w:val="28"/>
          <w:szCs w:val="28"/>
        </w:rPr>
        <w:t xml:space="preserve">indicators of this category, yet still higher than its average </w:t>
      </w:r>
      <w:r w:rsidR="00F101AD" w:rsidRPr="00B90A24">
        <w:rPr>
          <w:sz w:val="28"/>
          <w:szCs w:val="28"/>
        </w:rPr>
        <w:t xml:space="preserve">in </w:t>
      </w:r>
      <w:r w:rsidR="003B3F5D" w:rsidRPr="00B90A24">
        <w:rPr>
          <w:sz w:val="28"/>
          <w:szCs w:val="28"/>
        </w:rPr>
        <w:t>categories</w:t>
      </w:r>
      <w:r w:rsidR="008F4945" w:rsidRPr="00B90A24">
        <w:rPr>
          <w:sz w:val="28"/>
          <w:szCs w:val="28"/>
        </w:rPr>
        <w:t xml:space="preserve"> 1 and 2</w:t>
      </w:r>
      <w:r w:rsidR="003B3F5D" w:rsidRPr="00B90A24">
        <w:rPr>
          <w:sz w:val="28"/>
          <w:szCs w:val="28"/>
        </w:rPr>
        <w:t xml:space="preserve">. </w:t>
      </w:r>
      <w:r w:rsidR="00143B1C" w:rsidRPr="00B90A24">
        <w:rPr>
          <w:sz w:val="28"/>
          <w:szCs w:val="28"/>
        </w:rPr>
        <w:t xml:space="preserve">Secrecy in unilateral tax rulings and extractive industries contracts </w:t>
      </w:r>
      <w:r w:rsidR="00343515" w:rsidRPr="00B90A24">
        <w:rPr>
          <w:sz w:val="28"/>
          <w:szCs w:val="28"/>
        </w:rPr>
        <w:t xml:space="preserve">may enable governments to deviate from the rule of law, going beyond their legal mandate, and for these actions to go undetected. As such, administrations may </w:t>
      </w:r>
      <w:r w:rsidR="00AC1FEA" w:rsidRPr="00B90A24">
        <w:rPr>
          <w:sz w:val="28"/>
          <w:szCs w:val="28"/>
        </w:rPr>
        <w:t xml:space="preserve">enter “odious contracts” in the extractives that may be “against the interests of the people, without their consent, and with the full awareness of the creditor” </w:t>
      </w:r>
      <w:r w:rsidR="00AC1FEA" w:rsidRPr="00B90A24">
        <w:rPr>
          <w:sz w:val="28"/>
          <w:szCs w:val="28"/>
        </w:rPr>
        <w:fldChar w:fldCharType="begin"/>
      </w:r>
      <w:r w:rsidR="00500851" w:rsidRPr="00B90A24">
        <w:rPr>
          <w:sz w:val="28"/>
          <w:szCs w:val="28"/>
        </w:rPr>
        <w:instrText xml:space="preserve"> ADDIN ZOTERO_ITEM CSL_CITATION {"citationID":"yUSLEpTH","properties":{"formattedCitation":"(Le Billon, 2008, p. 5)","plainCitation":"(Le Billon, 2008, p. 5)","noteIndex":0},"citationItems":[{"id":5891,"uris":["http://zotero.org/groups/997303/items/D6M6IAKE"],"uri":["http://zotero.org/groups/997303/items/D6M6IAKE"],"itemData":{"id":5891,"type":"report","collection-title":"Working Paper Series","event-place":"Amherst, Massachussetts","number":"167","publisher":"Political Economy Research Institute (PERI), University of Massachusetts-Amherst","publisher-place":"Amherst, Massachussetts","title":"Resources for Peace?: Managing Revenues from Extractive Industries in Post-Conflict Environments","URL":"https://scholarworks.umass.edu/cgi/viewcontent.cgi?article=1138&amp;context=peri_workingpapers","author":[{"family":"Le Billon","given":"Philippe"}],"accessed":{"date-parts":[["2020",6,10]]},"issued":{"date-parts":[["2008",4]]}},"locator":"5"}],"schema":"https://github.com/citation-style-language/schema/raw/master/csl-citation.json"} </w:instrText>
      </w:r>
      <w:r w:rsidR="00AC1FEA" w:rsidRPr="00B90A24">
        <w:rPr>
          <w:sz w:val="28"/>
          <w:szCs w:val="28"/>
        </w:rPr>
        <w:fldChar w:fldCharType="separate"/>
      </w:r>
      <w:r w:rsidR="00B133DE" w:rsidRPr="00B90A24">
        <w:rPr>
          <w:rFonts w:cs="Times New Roman"/>
          <w:sz w:val="28"/>
          <w:szCs w:val="28"/>
        </w:rPr>
        <w:t>(Le Billon, 2008, p. 5)</w:t>
      </w:r>
      <w:r w:rsidR="00AC1FEA" w:rsidRPr="00B90A24">
        <w:rPr>
          <w:sz w:val="28"/>
          <w:szCs w:val="28"/>
        </w:rPr>
        <w:fldChar w:fldCharType="end"/>
      </w:r>
      <w:r w:rsidR="00AC1FEA" w:rsidRPr="00B90A24">
        <w:rPr>
          <w:sz w:val="28"/>
          <w:szCs w:val="28"/>
        </w:rPr>
        <w:t xml:space="preserve">. </w:t>
      </w:r>
      <w:r w:rsidR="008D0036" w:rsidRPr="00B90A24">
        <w:rPr>
          <w:sz w:val="28"/>
          <w:szCs w:val="28"/>
        </w:rPr>
        <w:t xml:space="preserve">The risks to the tax base of other jurisdictions as a result of the non-publication of tax rulings is that they may not be noticed and remain unchallenged by tax administrations </w:t>
      </w:r>
      <w:r w:rsidR="008D0036" w:rsidRPr="00B90A24">
        <w:rPr>
          <w:sz w:val="28"/>
          <w:szCs w:val="28"/>
        </w:rPr>
        <w:fldChar w:fldCharType="begin"/>
      </w:r>
      <w:r w:rsidR="00500851" w:rsidRPr="00B90A24">
        <w:rPr>
          <w:sz w:val="28"/>
          <w:szCs w:val="28"/>
        </w:rPr>
        <w:instrText xml:space="preserve"> ADDIN ZOTERO_ITEM CSL_CITATION {"citationID":"UhbWWSJX","properties":{"formattedCitation":"(Ates et al., 2020)","plainCitation":"(Ates et al., 2020)","noteIndex":0},"citationItems":[{"id":5549,"uris":["http://zotero.org/groups/997303/items/JW4ZBT32"],"uri":["http://zotero.org/groups/997303/items/JW4ZBT32"],"itemData":{"id":5549,"type":"article-journal","abstract":"The international spillover effects of specific domestic policies and practices have been subjected to increasing scrutiny from a range of international organizations, academia, and civil institutions with tax policy and practice both central in this discussion. Nevertheless, the extant international tax spillover analyses explore a limited set of spillover pathways or indicators that have been criticized in the literature for not being sufficiently inclusive. The focus of this article is on a newly launched index that includes a comprehensive set of plausible pathways in which spillovers occur. The Corporate Tax Haven Index (CTHI) explores twenty key tax spillover indicators under five categories and assesses sixty-four countries’ tax systems in order to identify policies that should be considered for corporate tax reform to mitigate cross-border tax spillovers. This article particularly aims to highlight international corporate tax spillover pathways in the European Union Member States’ domestic tax laws, regulations and documented administrative practices but limits its scope to domestic tax rules that dispense with positive spillovers. Finally, it analyses Member States’ current performance and concludes with recommendations for future tax reforms in the European Union.","issue":"4","language":"en","page":"389-401","source":"Zotero","title":"Positive Spillovers in International Corporate Taxation and the European Union","volume":"48","author":[{"family":"Ates","given":"Leyla"},{"family":"Harari","given":"Moran"},{"family":"Meinzer","given":"Markus"}],"issued":{"date-parts":[["2020"]]}}}],"schema":"https://github.com/citation-style-language/schema/raw/master/csl-citation.json"} </w:instrText>
      </w:r>
      <w:r w:rsidR="008D0036" w:rsidRPr="00B90A24">
        <w:rPr>
          <w:sz w:val="28"/>
          <w:szCs w:val="28"/>
        </w:rPr>
        <w:fldChar w:fldCharType="separate"/>
      </w:r>
      <w:r w:rsidR="00B133DE" w:rsidRPr="00B90A24">
        <w:rPr>
          <w:rFonts w:cs="Times New Roman"/>
          <w:sz w:val="28"/>
          <w:szCs w:val="28"/>
        </w:rPr>
        <w:t>(Ates et al., 2020)</w:t>
      </w:r>
      <w:r w:rsidR="008D0036" w:rsidRPr="00B90A24">
        <w:rPr>
          <w:sz w:val="28"/>
          <w:szCs w:val="28"/>
        </w:rPr>
        <w:fldChar w:fldCharType="end"/>
      </w:r>
      <w:r w:rsidR="008D0036" w:rsidRPr="00B90A24">
        <w:rPr>
          <w:sz w:val="28"/>
          <w:szCs w:val="28"/>
        </w:rPr>
        <w:t>. Contract disclosure in the extractive industries is important for the enforcement and oversight of the rights, revenue collection and responsibilities of parties to a contract. The positive spillover effects of disclosure include “exposing harmful treaties to public scrutiny thus reducing the likelihood of entering into future harmful treaties and, second, by providing additional contextual information for analysis of the tax affairs of multinational companies, especially for the interpretation of country-by-country reporting” (Ibid. 2020, p. 393).</w:t>
      </w:r>
    </w:p>
    <w:p w14:paraId="529470FB" w14:textId="29851D75" w:rsidR="00783A4C" w:rsidRDefault="00783A4C" w:rsidP="00B90A24">
      <w:pPr>
        <w:spacing w:after="0" w:line="240" w:lineRule="auto"/>
        <w:jc w:val="both"/>
        <w:rPr>
          <w:sz w:val="28"/>
          <w:szCs w:val="28"/>
        </w:rPr>
      </w:pPr>
    </w:p>
    <w:p w14:paraId="72C7E186" w14:textId="77777777" w:rsidR="00D7338C" w:rsidRPr="00B90A24" w:rsidRDefault="00D7338C" w:rsidP="00B90A24">
      <w:pPr>
        <w:spacing w:after="0" w:line="240" w:lineRule="auto"/>
        <w:jc w:val="both"/>
        <w:rPr>
          <w:sz w:val="28"/>
          <w:szCs w:val="28"/>
        </w:rPr>
      </w:pPr>
    </w:p>
    <w:p w14:paraId="6C1921DF" w14:textId="77777777" w:rsidR="00883811" w:rsidRPr="00B90A24" w:rsidRDefault="00883811" w:rsidP="00B90A24">
      <w:pPr>
        <w:pStyle w:val="Caption"/>
        <w:spacing w:after="0"/>
        <w:ind w:left="709"/>
        <w:rPr>
          <w:sz w:val="28"/>
          <w:szCs w:val="28"/>
        </w:rPr>
      </w:pPr>
      <w:bookmarkStart w:id="37" w:name="_Toc17883041"/>
      <w:r w:rsidRPr="00B90A24">
        <w:rPr>
          <w:noProof/>
          <w:sz w:val="28"/>
          <w:szCs w:val="28"/>
        </w:rPr>
        <w:drawing>
          <wp:inline distT="0" distB="0" distL="0" distR="0" wp14:anchorId="296D1BE3" wp14:editId="35F5368F">
            <wp:extent cx="5584873" cy="3137095"/>
            <wp:effectExtent l="0" t="0" r="15875" b="12700"/>
            <wp:docPr id="4" name="Chart 4">
              <a:extLst xmlns:a="http://schemas.openxmlformats.org/drawingml/2006/main">
                <a:ext uri="{FF2B5EF4-FFF2-40B4-BE49-F238E27FC236}">
                  <a16:creationId xmlns:a16="http://schemas.microsoft.com/office/drawing/2014/main" id="{B7E6FE4C-4B99-4F2C-9815-B84FD0E863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F3C28D" w14:textId="28822101" w:rsidR="00D7338C" w:rsidRDefault="00AF60AC" w:rsidP="00D7338C">
      <w:pPr>
        <w:spacing w:line="240" w:lineRule="auto"/>
        <w:ind w:left="709" w:right="748"/>
        <w:rPr>
          <w:i/>
          <w:sz w:val="28"/>
          <w:szCs w:val="28"/>
        </w:rPr>
      </w:pPr>
      <w:r w:rsidRPr="00B90A24">
        <w:rPr>
          <w:i/>
          <w:sz w:val="28"/>
          <w:szCs w:val="28"/>
        </w:rPr>
        <w:t xml:space="preserve">Figure </w:t>
      </w:r>
      <w:r w:rsidRPr="00B90A24">
        <w:rPr>
          <w:i/>
          <w:sz w:val="28"/>
          <w:szCs w:val="28"/>
        </w:rPr>
        <w:fldChar w:fldCharType="begin"/>
      </w:r>
      <w:r w:rsidRPr="00B90A24">
        <w:rPr>
          <w:i/>
          <w:sz w:val="28"/>
          <w:szCs w:val="28"/>
        </w:rPr>
        <w:instrText>SEQ Figure \* ARABIC</w:instrText>
      </w:r>
      <w:r w:rsidRPr="00B90A24">
        <w:rPr>
          <w:i/>
          <w:sz w:val="28"/>
          <w:szCs w:val="28"/>
        </w:rPr>
        <w:fldChar w:fldCharType="separate"/>
      </w:r>
      <w:r w:rsidR="00343515" w:rsidRPr="00B90A24">
        <w:rPr>
          <w:i/>
          <w:noProof/>
          <w:sz w:val="28"/>
          <w:szCs w:val="28"/>
        </w:rPr>
        <w:t>10</w:t>
      </w:r>
      <w:r w:rsidRPr="00B90A24">
        <w:rPr>
          <w:i/>
          <w:sz w:val="28"/>
          <w:szCs w:val="28"/>
        </w:rPr>
        <w:fldChar w:fldCharType="end"/>
      </w:r>
      <w:r w:rsidRPr="00B90A24">
        <w:rPr>
          <w:i/>
          <w:sz w:val="28"/>
          <w:szCs w:val="28"/>
        </w:rPr>
        <w:t>. Comparison of Transparency Indicators for African countries, EU and OECD</w:t>
      </w:r>
      <w:bookmarkStart w:id="38" w:name="_Toc17879120"/>
      <w:bookmarkEnd w:id="37"/>
    </w:p>
    <w:p w14:paraId="2338E1B5" w14:textId="77777777" w:rsidR="00D7338C" w:rsidRPr="00D7338C" w:rsidRDefault="00D7338C" w:rsidP="00D7338C">
      <w:pPr>
        <w:spacing w:line="240" w:lineRule="auto"/>
        <w:ind w:left="709" w:right="748"/>
        <w:rPr>
          <w:i/>
          <w:sz w:val="28"/>
          <w:szCs w:val="28"/>
        </w:rPr>
      </w:pPr>
    </w:p>
    <w:p w14:paraId="42A4F95F" w14:textId="6D182D1C" w:rsidR="00AF60AC" w:rsidRPr="00B90A24" w:rsidRDefault="00AF60AC" w:rsidP="00B90A24">
      <w:pPr>
        <w:pStyle w:val="Heading2"/>
        <w:numPr>
          <w:ilvl w:val="1"/>
          <w:numId w:val="21"/>
        </w:numPr>
        <w:spacing w:before="0" w:line="240" w:lineRule="auto"/>
        <w:ind w:left="851" w:right="464" w:hanging="425"/>
        <w:rPr>
          <w:i/>
          <w:color w:val="0070C0"/>
          <w:sz w:val="28"/>
          <w:szCs w:val="28"/>
        </w:rPr>
      </w:pPr>
      <w:r w:rsidRPr="00B90A24">
        <w:rPr>
          <w:i/>
          <w:color w:val="0070C0"/>
          <w:sz w:val="28"/>
          <w:szCs w:val="28"/>
        </w:rPr>
        <w:lastRenderedPageBreak/>
        <w:t>Anti-avoidance</w:t>
      </w:r>
      <w:bookmarkEnd w:id="38"/>
    </w:p>
    <w:p w14:paraId="2C560B52" w14:textId="77777777" w:rsidR="00783A4C" w:rsidRPr="00B90A24" w:rsidRDefault="00783A4C" w:rsidP="00B90A24">
      <w:pPr>
        <w:spacing w:after="0" w:line="240" w:lineRule="auto"/>
        <w:ind w:left="851" w:right="464"/>
        <w:jc w:val="both"/>
        <w:rPr>
          <w:sz w:val="28"/>
          <w:szCs w:val="28"/>
        </w:rPr>
      </w:pPr>
    </w:p>
    <w:p w14:paraId="4DFF8D60" w14:textId="667AFBEB" w:rsidR="00AF60AC" w:rsidRPr="00B90A24" w:rsidRDefault="00AF60AC" w:rsidP="00D7338C">
      <w:pPr>
        <w:spacing w:after="0" w:line="240" w:lineRule="auto"/>
        <w:ind w:left="851" w:right="890"/>
        <w:jc w:val="both"/>
        <w:rPr>
          <w:sz w:val="28"/>
          <w:szCs w:val="28"/>
        </w:rPr>
      </w:pPr>
      <w:r w:rsidRPr="00B90A24">
        <w:rPr>
          <w:sz w:val="28"/>
          <w:szCs w:val="28"/>
        </w:rPr>
        <w:t>In the fourth category of the Corporate Tax Haven Index, the anti-avoidance measures that jurisdictions put in place to constrain base erosion and profit shifting by multinational companies are examined</w:t>
      </w:r>
      <w:r w:rsidR="00541D63" w:rsidRPr="00B90A24">
        <w:rPr>
          <w:sz w:val="28"/>
          <w:szCs w:val="28"/>
        </w:rPr>
        <w:t xml:space="preserve"> </w:t>
      </w:r>
      <w:r w:rsidR="007D05E6" w:rsidRPr="00B90A24">
        <w:rPr>
          <w:sz w:val="28"/>
          <w:szCs w:val="28"/>
        </w:rPr>
        <w:fldChar w:fldCharType="begin"/>
      </w:r>
      <w:r w:rsidR="00500851" w:rsidRPr="00B90A24">
        <w:rPr>
          <w:sz w:val="28"/>
          <w:szCs w:val="28"/>
        </w:rPr>
        <w:instrText xml:space="preserve"> ADDIN ZOTERO_ITEM CSL_CITATION {"citationID":"lvjC1nj6","properties":{"formattedCitation":"(Ates et al., 2020)","plainCitation":"(Ates et al., 2020)","noteIndex":0},"citationItems":[{"id":5549,"uris":["http://zotero.org/groups/997303/items/JW4ZBT32"],"uri":["http://zotero.org/groups/997303/items/JW4ZBT32"],"itemData":{"id":5549,"type":"article-journal","abstract":"The international spillover effects of specific domestic policies and practices have been subjected to increasing scrutiny from a range of international organizations, academia, and civil institutions with tax policy and practice both central in this discussion. Nevertheless, the extant international tax spillover analyses explore a limited set of spillover pathways or indicators that have been criticized in the literature for not being sufficiently inclusive. The focus of this article is on a newly launched index that includes a comprehensive set of plausible pathways in which spillovers occur. The Corporate Tax Haven Index (CTHI) explores twenty key tax spillover indicators under five categories and assesses sixty-four countries’ tax systems in order to identify policies that should be considered for corporate tax reform to mitigate cross-border tax spillovers. This article particularly aims to highlight international corporate tax spillover pathways in the European Union Member States’ domestic tax laws, regulations and documented administrative practices but limits its scope to domestic tax rules that dispense with positive spillovers. Finally, it analyses Member States’ current performance and concludes with recommendations for future tax reforms in the European Union.","issue":"4","language":"en","page":"389-401","source":"Zotero","title":"Positive Spillovers in International Corporate Taxation and the European Union","volume":"48","author":[{"family":"Ates","given":"Leyla"},{"family":"Harari","given":"Moran"},{"family":"Meinzer","given":"Markus"}],"issued":{"date-parts":[["2020"]]}}}],"schema":"https://github.com/citation-style-language/schema/raw/master/csl-citation.json"} </w:instrText>
      </w:r>
      <w:r w:rsidR="007D05E6" w:rsidRPr="00B90A24">
        <w:rPr>
          <w:sz w:val="28"/>
          <w:szCs w:val="28"/>
        </w:rPr>
        <w:fldChar w:fldCharType="separate"/>
      </w:r>
      <w:r w:rsidR="00B133DE" w:rsidRPr="00B90A24">
        <w:rPr>
          <w:rFonts w:cs="Times New Roman"/>
          <w:sz w:val="28"/>
          <w:szCs w:val="28"/>
        </w:rPr>
        <w:t>(Ates et al., 2020)</w:t>
      </w:r>
      <w:r w:rsidR="007D05E6" w:rsidRPr="00B90A24">
        <w:rPr>
          <w:sz w:val="28"/>
          <w:szCs w:val="28"/>
        </w:rPr>
        <w:fldChar w:fldCharType="end"/>
      </w:r>
      <w:r w:rsidRPr="00B90A24">
        <w:rPr>
          <w:sz w:val="28"/>
          <w:szCs w:val="28"/>
        </w:rPr>
        <w:t xml:space="preserve">. Some jurisdictions may intentionally not limit these practices as they seek to attract profit-shifting activity; </w:t>
      </w:r>
      <w:r w:rsidR="00070444" w:rsidRPr="00B90A24">
        <w:rPr>
          <w:sz w:val="28"/>
          <w:szCs w:val="28"/>
        </w:rPr>
        <w:t xml:space="preserve">in other cases, it may be a matter of jurisdictions </w:t>
      </w:r>
      <w:r w:rsidRPr="00B90A24">
        <w:rPr>
          <w:sz w:val="28"/>
          <w:szCs w:val="28"/>
        </w:rPr>
        <w:t xml:space="preserve">not updating and ensuring the right policies are in place to address harmful tax practices. The arithmetic average of five indicators make up the anti-avoidance score. In this category, the rules limiting deductions for interest, service payments and royalties from the corporate tax base are considered alongside </w:t>
      </w:r>
      <w:r w:rsidR="00BC18EB" w:rsidRPr="00B90A24">
        <w:rPr>
          <w:sz w:val="28"/>
          <w:szCs w:val="28"/>
        </w:rPr>
        <w:t>domestic</w:t>
      </w:r>
      <w:r w:rsidRPr="00B90A24">
        <w:rPr>
          <w:sz w:val="28"/>
          <w:szCs w:val="28"/>
        </w:rPr>
        <w:t xml:space="preserve"> withholding tax rates applied on dividends and controlled foreign company rules. </w:t>
      </w:r>
    </w:p>
    <w:p w14:paraId="2CCEAD79" w14:textId="77777777" w:rsidR="00783A4C" w:rsidRPr="00B90A24" w:rsidRDefault="00783A4C" w:rsidP="00B90A24">
      <w:pPr>
        <w:spacing w:after="0" w:line="240" w:lineRule="auto"/>
        <w:jc w:val="both"/>
        <w:rPr>
          <w:rFonts w:ascii="Arial" w:hAnsi="Arial" w:cs="Arial"/>
          <w:color w:val="545454"/>
          <w:sz w:val="28"/>
          <w:szCs w:val="28"/>
          <w:shd w:val="clear" w:color="auto" w:fill="FFFFFF"/>
        </w:rPr>
      </w:pPr>
    </w:p>
    <w:p w14:paraId="18ED9397" w14:textId="0DE9D38D" w:rsidR="00AF60AC" w:rsidRPr="00B90A24" w:rsidRDefault="00883811" w:rsidP="00D7338C">
      <w:pPr>
        <w:pStyle w:val="Caption"/>
        <w:spacing w:after="0"/>
        <w:ind w:left="993" w:right="748"/>
        <w:rPr>
          <w:sz w:val="28"/>
          <w:szCs w:val="28"/>
        </w:rPr>
      </w:pPr>
      <w:bookmarkStart w:id="39" w:name="_Ref10786458"/>
      <w:bookmarkStart w:id="40" w:name="_Toc17883042"/>
      <w:r w:rsidRPr="00B90A24">
        <w:rPr>
          <w:noProof/>
          <w:sz w:val="28"/>
          <w:szCs w:val="28"/>
        </w:rPr>
        <w:drawing>
          <wp:inline distT="0" distB="0" distL="0" distR="0" wp14:anchorId="138A6A75" wp14:editId="2898132A">
            <wp:extent cx="5444197" cy="2804795"/>
            <wp:effectExtent l="0" t="0" r="17145" b="14605"/>
            <wp:docPr id="5" name="Chart 5">
              <a:extLst xmlns:a="http://schemas.openxmlformats.org/drawingml/2006/main">
                <a:ext uri="{FF2B5EF4-FFF2-40B4-BE49-F238E27FC236}">
                  <a16:creationId xmlns:a16="http://schemas.microsoft.com/office/drawing/2014/main" id="{ECA669F3-9B46-40F7-8B07-A7D01588F5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F60AC" w:rsidRPr="00B90A24">
        <w:rPr>
          <w:sz w:val="28"/>
          <w:szCs w:val="28"/>
        </w:rPr>
        <w:t xml:space="preserve">Figure </w:t>
      </w:r>
      <w:r w:rsidR="00AF60AC" w:rsidRPr="00B90A24">
        <w:rPr>
          <w:sz w:val="28"/>
          <w:szCs w:val="28"/>
        </w:rPr>
        <w:fldChar w:fldCharType="begin"/>
      </w:r>
      <w:r w:rsidR="00AF60AC" w:rsidRPr="00B90A24">
        <w:rPr>
          <w:sz w:val="28"/>
          <w:szCs w:val="28"/>
        </w:rPr>
        <w:instrText xml:space="preserve"> SEQ Figure \* ARABIC </w:instrText>
      </w:r>
      <w:r w:rsidR="00AF60AC" w:rsidRPr="00B90A24">
        <w:rPr>
          <w:sz w:val="28"/>
          <w:szCs w:val="28"/>
        </w:rPr>
        <w:fldChar w:fldCharType="separate"/>
      </w:r>
      <w:r w:rsidR="00343515" w:rsidRPr="00B90A24">
        <w:rPr>
          <w:noProof/>
          <w:sz w:val="28"/>
          <w:szCs w:val="28"/>
        </w:rPr>
        <w:t>11</w:t>
      </w:r>
      <w:r w:rsidR="00AF60AC" w:rsidRPr="00B90A24">
        <w:rPr>
          <w:sz w:val="28"/>
          <w:szCs w:val="28"/>
        </w:rPr>
        <w:fldChar w:fldCharType="end"/>
      </w:r>
      <w:bookmarkEnd w:id="39"/>
      <w:r w:rsidR="00AF60AC" w:rsidRPr="00B90A24">
        <w:rPr>
          <w:sz w:val="28"/>
          <w:szCs w:val="28"/>
        </w:rPr>
        <w:t>. Corporate tax haven scores for Africa and averages – Category 4: Anti-avoidance</w:t>
      </w:r>
      <w:bookmarkEnd w:id="40"/>
    </w:p>
    <w:p w14:paraId="5D3B5108" w14:textId="77777777" w:rsidR="00783A4C" w:rsidRPr="00B90A24" w:rsidRDefault="00783A4C" w:rsidP="00B90A24">
      <w:pPr>
        <w:spacing w:after="0" w:line="240" w:lineRule="auto"/>
        <w:jc w:val="both"/>
        <w:rPr>
          <w:sz w:val="28"/>
          <w:szCs w:val="28"/>
        </w:rPr>
      </w:pPr>
    </w:p>
    <w:p w14:paraId="33BB3D87" w14:textId="77777777" w:rsidR="00745F35" w:rsidRPr="00B90A24" w:rsidRDefault="00AF60AC" w:rsidP="00B90A24">
      <w:pPr>
        <w:spacing w:after="0" w:line="240" w:lineRule="auto"/>
        <w:ind w:left="851" w:right="748"/>
        <w:jc w:val="both"/>
        <w:rPr>
          <w:sz w:val="28"/>
          <w:szCs w:val="28"/>
        </w:rPr>
      </w:pPr>
      <w:r w:rsidRPr="00B90A24">
        <w:rPr>
          <w:sz w:val="28"/>
          <w:szCs w:val="28"/>
        </w:rPr>
        <w:t xml:space="preserve">Just as all regions received high haven scores in category 3 on transparency in the Corporate Tax Haven Index, high haven scores are observed across regions for </w:t>
      </w:r>
      <w:r w:rsidR="00983A09" w:rsidRPr="00B90A24">
        <w:rPr>
          <w:sz w:val="28"/>
          <w:szCs w:val="28"/>
        </w:rPr>
        <w:t>the fourth category</w:t>
      </w:r>
      <w:r w:rsidRPr="00B90A24">
        <w:rPr>
          <w:sz w:val="28"/>
          <w:szCs w:val="28"/>
        </w:rPr>
        <w:t xml:space="preserve"> on anti-avoidance measures as shown in </w:t>
      </w:r>
      <w:r w:rsidRPr="00B90A24">
        <w:rPr>
          <w:sz w:val="28"/>
          <w:szCs w:val="28"/>
        </w:rPr>
        <w:fldChar w:fldCharType="begin"/>
      </w:r>
      <w:r w:rsidRPr="00B90A24">
        <w:rPr>
          <w:sz w:val="28"/>
          <w:szCs w:val="28"/>
        </w:rPr>
        <w:instrText xml:space="preserve"> REF _Ref10786458 \h </w:instrText>
      </w:r>
      <w:r w:rsidR="00983A09" w:rsidRPr="00B90A24">
        <w:rPr>
          <w:sz w:val="28"/>
          <w:szCs w:val="28"/>
        </w:rPr>
        <w:instrText xml:space="preserve"> \* MERGEFORMAT </w:instrText>
      </w:r>
      <w:r w:rsidRPr="00B90A24">
        <w:rPr>
          <w:sz w:val="28"/>
          <w:szCs w:val="28"/>
        </w:rPr>
      </w:r>
      <w:r w:rsidRPr="00B90A24">
        <w:rPr>
          <w:sz w:val="28"/>
          <w:szCs w:val="28"/>
        </w:rPr>
        <w:fldChar w:fldCharType="separate"/>
      </w:r>
      <w:r w:rsidR="00B122C4" w:rsidRPr="00B90A24">
        <w:rPr>
          <w:sz w:val="28"/>
          <w:szCs w:val="28"/>
        </w:rPr>
        <w:t>Figure</w:t>
      </w:r>
      <w:r w:rsidR="00B122C4" w:rsidRPr="00B90A24">
        <w:rPr>
          <w:noProof/>
          <w:sz w:val="28"/>
          <w:szCs w:val="28"/>
        </w:rPr>
        <w:t xml:space="preserve"> 11</w:t>
      </w:r>
      <w:r w:rsidRPr="00B90A24">
        <w:rPr>
          <w:sz w:val="28"/>
          <w:szCs w:val="28"/>
        </w:rPr>
        <w:fldChar w:fldCharType="end"/>
      </w:r>
      <w:r w:rsidRPr="00B90A24">
        <w:rPr>
          <w:sz w:val="28"/>
          <w:szCs w:val="28"/>
        </w:rPr>
        <w:t xml:space="preserve">. </w:t>
      </w:r>
    </w:p>
    <w:p w14:paraId="3845E62B" w14:textId="77777777" w:rsidR="00745F35" w:rsidRPr="00B90A24" w:rsidRDefault="00745F35" w:rsidP="00B90A24">
      <w:pPr>
        <w:spacing w:after="0" w:line="240" w:lineRule="auto"/>
        <w:ind w:left="851" w:right="748"/>
        <w:jc w:val="both"/>
        <w:rPr>
          <w:sz w:val="28"/>
          <w:szCs w:val="28"/>
        </w:rPr>
      </w:pPr>
    </w:p>
    <w:p w14:paraId="5A3D0023" w14:textId="31342395" w:rsidR="00AF60AC" w:rsidRPr="00B90A24" w:rsidRDefault="00AF60AC" w:rsidP="00B90A24">
      <w:pPr>
        <w:spacing w:after="0" w:line="240" w:lineRule="auto"/>
        <w:ind w:left="851" w:right="748"/>
        <w:jc w:val="both"/>
        <w:rPr>
          <w:sz w:val="28"/>
          <w:szCs w:val="28"/>
        </w:rPr>
      </w:pPr>
      <w:r w:rsidRPr="00B90A24">
        <w:rPr>
          <w:sz w:val="28"/>
          <w:szCs w:val="28"/>
        </w:rPr>
        <w:t xml:space="preserve">Again, the African average is higher than the </w:t>
      </w:r>
      <w:r w:rsidR="00070444" w:rsidRPr="00B90A24">
        <w:rPr>
          <w:sz w:val="28"/>
          <w:szCs w:val="28"/>
        </w:rPr>
        <w:t xml:space="preserve">average in the </w:t>
      </w:r>
      <w:r w:rsidRPr="00B90A24">
        <w:rPr>
          <w:sz w:val="28"/>
          <w:szCs w:val="28"/>
        </w:rPr>
        <w:t xml:space="preserve">OECD and </w:t>
      </w:r>
      <w:r w:rsidR="00340231" w:rsidRPr="00B90A24">
        <w:rPr>
          <w:sz w:val="28"/>
          <w:szCs w:val="28"/>
        </w:rPr>
        <w:t>EU</w:t>
      </w:r>
      <w:r w:rsidR="00070444" w:rsidRPr="00B90A24">
        <w:rPr>
          <w:sz w:val="28"/>
          <w:szCs w:val="28"/>
        </w:rPr>
        <w:t xml:space="preserve"> blocks</w:t>
      </w:r>
      <w:r w:rsidRPr="00B90A24">
        <w:rPr>
          <w:sz w:val="28"/>
          <w:szCs w:val="28"/>
        </w:rPr>
        <w:t>, even when their dependencies are included.</w:t>
      </w:r>
      <w:r w:rsidR="00745F35" w:rsidRPr="00B90A24">
        <w:rPr>
          <w:sz w:val="28"/>
          <w:szCs w:val="28"/>
        </w:rPr>
        <w:t xml:space="preserve"> </w:t>
      </w:r>
      <w:r w:rsidRPr="00B90A24">
        <w:rPr>
          <w:sz w:val="28"/>
          <w:szCs w:val="28"/>
        </w:rPr>
        <w:t xml:space="preserve">When </w:t>
      </w:r>
      <w:r w:rsidR="00883811" w:rsidRPr="00B90A24">
        <w:rPr>
          <w:sz w:val="28"/>
          <w:szCs w:val="28"/>
        </w:rPr>
        <w:t>focusing</w:t>
      </w:r>
      <w:r w:rsidRPr="00B90A24">
        <w:rPr>
          <w:sz w:val="28"/>
          <w:szCs w:val="28"/>
        </w:rPr>
        <w:t xml:space="preserve"> on individual anti-avoidance policies and indicators, some heterogeneity becomes visible. As shown in</w:t>
      </w:r>
      <w:r w:rsidR="00070444" w:rsidRPr="00B90A24">
        <w:rPr>
          <w:noProof/>
          <w:sz w:val="28"/>
          <w:szCs w:val="28"/>
        </w:rPr>
        <w:t xml:space="preserve"> </w:t>
      </w:r>
      <w:r w:rsidR="00070444" w:rsidRPr="00B90A24">
        <w:rPr>
          <w:noProof/>
          <w:sz w:val="28"/>
          <w:szCs w:val="28"/>
        </w:rPr>
        <w:fldChar w:fldCharType="begin"/>
      </w:r>
      <w:r w:rsidR="00070444" w:rsidRPr="00B90A24">
        <w:rPr>
          <w:noProof/>
          <w:sz w:val="28"/>
          <w:szCs w:val="28"/>
        </w:rPr>
        <w:instrText xml:space="preserve"> REF _Ref43372379 \h </w:instrText>
      </w:r>
      <w:r w:rsidR="00595FF1" w:rsidRPr="00B90A24">
        <w:rPr>
          <w:noProof/>
          <w:sz w:val="28"/>
          <w:szCs w:val="28"/>
        </w:rPr>
        <w:instrText xml:space="preserve"> \* MERGEFORMAT </w:instrText>
      </w:r>
      <w:r w:rsidR="00070444" w:rsidRPr="00B90A24">
        <w:rPr>
          <w:noProof/>
          <w:sz w:val="28"/>
          <w:szCs w:val="28"/>
        </w:rPr>
      </w:r>
      <w:r w:rsidR="00070444" w:rsidRPr="00B90A24">
        <w:rPr>
          <w:noProof/>
          <w:sz w:val="28"/>
          <w:szCs w:val="28"/>
        </w:rPr>
        <w:fldChar w:fldCharType="separate"/>
      </w:r>
      <w:r w:rsidR="00B122C4" w:rsidRPr="00B90A24">
        <w:rPr>
          <w:sz w:val="28"/>
          <w:szCs w:val="28"/>
        </w:rPr>
        <w:t xml:space="preserve">Figure </w:t>
      </w:r>
      <w:r w:rsidR="00B122C4" w:rsidRPr="00B90A24">
        <w:rPr>
          <w:noProof/>
          <w:sz w:val="28"/>
          <w:szCs w:val="28"/>
        </w:rPr>
        <w:t>12</w:t>
      </w:r>
      <w:r w:rsidR="00070444" w:rsidRPr="00B90A24">
        <w:rPr>
          <w:noProof/>
          <w:sz w:val="28"/>
          <w:szCs w:val="28"/>
        </w:rPr>
        <w:fldChar w:fldCharType="end"/>
      </w:r>
      <w:r w:rsidRPr="00B90A24">
        <w:rPr>
          <w:sz w:val="28"/>
          <w:szCs w:val="28"/>
        </w:rPr>
        <w:t xml:space="preserve">, the average haven scores in Africa are similar to the averages of the OECD and the </w:t>
      </w:r>
      <w:r w:rsidR="00340231" w:rsidRPr="00B90A24">
        <w:rPr>
          <w:sz w:val="28"/>
          <w:szCs w:val="28"/>
        </w:rPr>
        <w:t>EU</w:t>
      </w:r>
      <w:r w:rsidRPr="00B90A24">
        <w:rPr>
          <w:sz w:val="28"/>
          <w:szCs w:val="28"/>
        </w:rPr>
        <w:t xml:space="preserve"> on the indicators for withholding taxes on dividends and deduction limitation for interests, royalties and service payments. However, African jurisdictions perform significantly worse than the OECD and the </w:t>
      </w:r>
      <w:r w:rsidR="00340231" w:rsidRPr="00B90A24">
        <w:rPr>
          <w:sz w:val="28"/>
          <w:szCs w:val="28"/>
        </w:rPr>
        <w:t>EU</w:t>
      </w:r>
      <w:r w:rsidRPr="00B90A24">
        <w:rPr>
          <w:sz w:val="28"/>
          <w:szCs w:val="28"/>
        </w:rPr>
        <w:t xml:space="preserve"> on the indicator for controlled foreign company rules.</w:t>
      </w:r>
    </w:p>
    <w:p w14:paraId="16E567A4" w14:textId="77777777" w:rsidR="00783A4C" w:rsidRPr="00B90A24" w:rsidRDefault="00783A4C" w:rsidP="00B90A24">
      <w:pPr>
        <w:spacing w:after="0" w:line="240" w:lineRule="auto"/>
        <w:ind w:left="851" w:right="748"/>
        <w:jc w:val="both"/>
        <w:rPr>
          <w:sz w:val="28"/>
          <w:szCs w:val="28"/>
        </w:rPr>
      </w:pPr>
    </w:p>
    <w:p w14:paraId="26A440D2" w14:textId="77777777" w:rsidR="00883811" w:rsidRPr="00B90A24" w:rsidRDefault="00883811" w:rsidP="00B90A24">
      <w:pPr>
        <w:pStyle w:val="Caption"/>
        <w:spacing w:after="0"/>
        <w:ind w:left="709"/>
        <w:rPr>
          <w:sz w:val="28"/>
          <w:szCs w:val="28"/>
        </w:rPr>
      </w:pPr>
      <w:bookmarkStart w:id="41" w:name="_Ref10814422"/>
      <w:bookmarkStart w:id="42" w:name="_Toc17883043"/>
      <w:r w:rsidRPr="00B90A24">
        <w:rPr>
          <w:noProof/>
          <w:sz w:val="28"/>
          <w:szCs w:val="28"/>
        </w:rPr>
        <w:lastRenderedPageBreak/>
        <w:drawing>
          <wp:inline distT="0" distB="0" distL="0" distR="0" wp14:anchorId="2F4168AC" wp14:editId="4A33E76F">
            <wp:extent cx="5542670" cy="2926080"/>
            <wp:effectExtent l="0" t="0" r="7620" b="7620"/>
            <wp:docPr id="7" name="Chart 7">
              <a:extLst xmlns:a="http://schemas.openxmlformats.org/drawingml/2006/main">
                <a:ext uri="{FF2B5EF4-FFF2-40B4-BE49-F238E27FC236}">
                  <a16:creationId xmlns:a16="http://schemas.microsoft.com/office/drawing/2014/main" id="{CB667682-F249-4869-A2A2-8CBBAEBF8B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F8C7F3" w14:textId="7613C77F" w:rsidR="00AF60AC" w:rsidRPr="00B90A24" w:rsidRDefault="00AF60AC" w:rsidP="00C5141D">
      <w:pPr>
        <w:pStyle w:val="Caption"/>
        <w:spacing w:after="0"/>
        <w:ind w:left="709" w:right="1031"/>
        <w:rPr>
          <w:sz w:val="28"/>
          <w:szCs w:val="28"/>
        </w:rPr>
      </w:pPr>
      <w:bookmarkStart w:id="43" w:name="_Ref43372379"/>
      <w:bookmarkStart w:id="44" w:name="_Ref43372375"/>
      <w:r w:rsidRPr="00B90A24">
        <w:rPr>
          <w:sz w:val="28"/>
          <w:szCs w:val="28"/>
        </w:rPr>
        <w:t xml:space="preserve">Figure </w:t>
      </w:r>
      <w:r w:rsidRPr="00B90A24">
        <w:rPr>
          <w:sz w:val="28"/>
          <w:szCs w:val="28"/>
        </w:rPr>
        <w:fldChar w:fldCharType="begin"/>
      </w:r>
      <w:r w:rsidRPr="00B90A24">
        <w:rPr>
          <w:sz w:val="28"/>
          <w:szCs w:val="28"/>
        </w:rPr>
        <w:instrText>SEQ Figure \* ARABIC</w:instrText>
      </w:r>
      <w:r w:rsidRPr="00B90A24">
        <w:rPr>
          <w:sz w:val="28"/>
          <w:szCs w:val="28"/>
        </w:rPr>
        <w:fldChar w:fldCharType="separate"/>
      </w:r>
      <w:r w:rsidR="00343515" w:rsidRPr="00B90A24">
        <w:rPr>
          <w:noProof/>
          <w:sz w:val="28"/>
          <w:szCs w:val="28"/>
        </w:rPr>
        <w:t>12</w:t>
      </w:r>
      <w:r w:rsidRPr="00B90A24">
        <w:rPr>
          <w:sz w:val="28"/>
          <w:szCs w:val="28"/>
        </w:rPr>
        <w:fldChar w:fldCharType="end"/>
      </w:r>
      <w:bookmarkEnd w:id="41"/>
      <w:bookmarkEnd w:id="43"/>
      <w:r w:rsidRPr="00B90A24">
        <w:rPr>
          <w:sz w:val="28"/>
          <w:szCs w:val="28"/>
        </w:rPr>
        <w:t>. Comparison of Anti-Avoidance Indicators for African countries, EU and OECD</w:t>
      </w:r>
      <w:bookmarkEnd w:id="42"/>
      <w:bookmarkEnd w:id="44"/>
    </w:p>
    <w:p w14:paraId="18D3AAF5" w14:textId="77777777" w:rsidR="00783A4C" w:rsidRPr="00B90A24" w:rsidRDefault="00783A4C" w:rsidP="00B90A24">
      <w:pPr>
        <w:spacing w:after="0" w:line="240" w:lineRule="auto"/>
        <w:jc w:val="both"/>
        <w:rPr>
          <w:rFonts w:eastAsia="Verdana" w:cs="Verdana"/>
          <w:sz w:val="28"/>
          <w:szCs w:val="28"/>
        </w:rPr>
      </w:pPr>
    </w:p>
    <w:p w14:paraId="27A055DF" w14:textId="11BC465B" w:rsidR="00500C18" w:rsidRPr="00B90A24" w:rsidRDefault="00500C18" w:rsidP="00D7338C">
      <w:pPr>
        <w:spacing w:after="0" w:line="240" w:lineRule="auto"/>
        <w:ind w:left="567" w:right="1031"/>
        <w:jc w:val="both"/>
        <w:rPr>
          <w:rFonts w:cs="Times New Roman"/>
          <w:sz w:val="28"/>
          <w:szCs w:val="28"/>
          <w:lang w:eastAsia="en-GB"/>
        </w:rPr>
      </w:pPr>
      <w:r w:rsidRPr="00B90A24">
        <w:rPr>
          <w:rFonts w:eastAsia="Verdana" w:cs="Verdana"/>
          <w:sz w:val="28"/>
          <w:szCs w:val="28"/>
        </w:rPr>
        <w:t xml:space="preserve">Most of the African countries also allow zero per cent </w:t>
      </w:r>
      <w:r w:rsidRPr="00B90A24">
        <w:rPr>
          <w:sz w:val="28"/>
          <w:szCs w:val="28"/>
        </w:rPr>
        <w:t>withholding taxes on outbound dividend payments under certain scenarios. These payments are made by a subsidiary of a multinational enterprise</w:t>
      </w:r>
      <w:r w:rsidRPr="00B90A24">
        <w:rPr>
          <w:rFonts w:cs="Times New Roman"/>
          <w:sz w:val="28"/>
          <w:szCs w:val="28"/>
          <w:lang w:eastAsia="en-GB"/>
        </w:rPr>
        <w:t xml:space="preserve"> to </w:t>
      </w:r>
      <w:r w:rsidR="00A2471C" w:rsidRPr="00B90A24">
        <w:rPr>
          <w:rFonts w:cs="Times New Roman"/>
          <w:sz w:val="28"/>
          <w:szCs w:val="28"/>
          <w:lang w:eastAsia="en-GB"/>
        </w:rPr>
        <w:t xml:space="preserve">its </w:t>
      </w:r>
      <w:r w:rsidRPr="00B90A24">
        <w:rPr>
          <w:rFonts w:cs="Times New Roman"/>
          <w:sz w:val="28"/>
          <w:szCs w:val="28"/>
          <w:lang w:eastAsia="en-GB"/>
        </w:rPr>
        <w:t xml:space="preserve">headquarters </w:t>
      </w:r>
      <w:r w:rsidR="00A2471C" w:rsidRPr="00B90A24">
        <w:rPr>
          <w:rFonts w:cs="Times New Roman"/>
          <w:sz w:val="28"/>
          <w:szCs w:val="28"/>
          <w:lang w:eastAsia="en-GB"/>
        </w:rPr>
        <w:t xml:space="preserve">or </w:t>
      </w:r>
      <w:r w:rsidR="00332955" w:rsidRPr="00B90A24">
        <w:rPr>
          <w:rFonts w:cs="Times New Roman"/>
          <w:sz w:val="28"/>
          <w:szCs w:val="28"/>
          <w:lang w:eastAsia="en-GB"/>
        </w:rPr>
        <w:t xml:space="preserve">intermediate holding </w:t>
      </w:r>
      <w:r w:rsidRPr="00B90A24">
        <w:rPr>
          <w:rFonts w:cs="Times New Roman"/>
          <w:sz w:val="28"/>
          <w:szCs w:val="28"/>
          <w:lang w:eastAsia="en-GB"/>
        </w:rPr>
        <w:t xml:space="preserve">in another jurisdiction. Only Liberia and Tanzania impose a withholding tax, but only </w:t>
      </w:r>
      <w:r w:rsidR="00023D35" w:rsidRPr="00B90A24">
        <w:rPr>
          <w:rFonts w:cs="Times New Roman"/>
          <w:sz w:val="28"/>
          <w:szCs w:val="28"/>
          <w:lang w:eastAsia="en-GB"/>
        </w:rPr>
        <w:t xml:space="preserve">at </w:t>
      </w:r>
      <w:r w:rsidRPr="00B90A24">
        <w:rPr>
          <w:rFonts w:cs="Times New Roman"/>
          <w:sz w:val="28"/>
          <w:szCs w:val="28"/>
          <w:lang w:eastAsia="en-GB"/>
        </w:rPr>
        <w:t xml:space="preserve">five per cent. </w:t>
      </w:r>
      <w:r w:rsidRPr="00B90A24">
        <w:rPr>
          <w:sz w:val="28"/>
          <w:szCs w:val="28"/>
        </w:rPr>
        <w:t xml:space="preserve">The withholding tax rate on dividends influences cross-border tax planning opportunities and can play an important role in countering tax avoidance especially in lower income countries </w:t>
      </w:r>
      <w:r w:rsidRPr="00B90A24">
        <w:rPr>
          <w:sz w:val="28"/>
          <w:szCs w:val="28"/>
        </w:rPr>
        <w:fldChar w:fldCharType="begin"/>
      </w:r>
      <w:r w:rsidR="00500851" w:rsidRPr="00B90A24">
        <w:rPr>
          <w:sz w:val="28"/>
          <w:szCs w:val="28"/>
        </w:rPr>
        <w:instrText xml:space="preserve"> ADDIN ZOTERO_ITEM CSL_CITATION {"citationID":"nAytwCiC","properties":{"formattedCitation":"(van\\uc0\\u8217{}t Riet &amp; Lejour, 2014)","plainCitation":"(van’t Riet &amp; Lejour, 2014)","noteIndex":0},"citationItems":[{"id":5560,"uris":["http://zotero.org/groups/997303/items/Z9GC9WEB"],"uri":["http://zotero.org/groups/997303/items/Z9GC9WEB"],"itemData":{"id":5560,"type":"report","abstract":"With a novel approach this paper sheds light on the international tax planning possibilities of multinationals. The international corporate tax system is considered a network, just like for transportation, and ‘shortest’ paths are computed, minimizing tax payments for the multinationals when repatriating profits.","collection-title":"CPB Discussion Paper","language":"en","note":"container-title: CPB Discussion Paper","number":"290","publisher":"CPB Netherlands Bureau for Economic Policy Analysis","source":"ideas.repec.org","title":"Ranking the Stars: Network Analysis of Bilateral Tax Treaties","title-short":"Ranking the Stars","URL":"https://ideas.repec.org/p/cpb/discus/290.rdf.html","author":[{"family":"Riet","given":"Maarten","non-dropping-particle":"van't"},{"family":"Lejour","given":"Arjan"}],"accessed":{"date-parts":[["2020",3,26]]},"issued":{"date-parts":[["2014",10]]}}}],"schema":"https://github.com/citation-style-language/schema/raw/master/csl-citation.json"} </w:instrText>
      </w:r>
      <w:r w:rsidRPr="00B90A24">
        <w:rPr>
          <w:sz w:val="28"/>
          <w:szCs w:val="28"/>
        </w:rPr>
        <w:fldChar w:fldCharType="separate"/>
      </w:r>
      <w:r w:rsidR="00B133DE" w:rsidRPr="00B90A24">
        <w:rPr>
          <w:rFonts w:cs="Times New Roman"/>
          <w:sz w:val="28"/>
          <w:szCs w:val="28"/>
        </w:rPr>
        <w:t>(van’t Riet &amp; Lejour, 2014)</w:t>
      </w:r>
      <w:r w:rsidRPr="00B90A24">
        <w:rPr>
          <w:sz w:val="28"/>
          <w:szCs w:val="28"/>
        </w:rPr>
        <w:fldChar w:fldCharType="end"/>
      </w:r>
      <w:r w:rsidRPr="00B90A24">
        <w:rPr>
          <w:sz w:val="28"/>
          <w:szCs w:val="28"/>
        </w:rPr>
        <w:t xml:space="preserve">. The level of withholding taxes, along with the level of corporate income taxation and </w:t>
      </w:r>
      <w:r w:rsidR="00624C6F" w:rsidRPr="00B90A24">
        <w:rPr>
          <w:sz w:val="28"/>
          <w:szCs w:val="28"/>
        </w:rPr>
        <w:t>tax treaties</w:t>
      </w:r>
      <w:r w:rsidRPr="00B90A24">
        <w:rPr>
          <w:sz w:val="28"/>
          <w:szCs w:val="28"/>
        </w:rPr>
        <w:t xml:space="preserve">, are used as parameters by multinational corporations to determine which countries are used as investment platforms in repatriation strategies, acting as conduit countries </w:t>
      </w:r>
      <w:r w:rsidRPr="00B90A24">
        <w:rPr>
          <w:sz w:val="28"/>
          <w:szCs w:val="28"/>
        </w:rPr>
        <w:fldChar w:fldCharType="begin"/>
      </w:r>
      <w:r w:rsidR="00500851" w:rsidRPr="00B90A24">
        <w:rPr>
          <w:sz w:val="28"/>
          <w:szCs w:val="28"/>
        </w:rPr>
        <w:instrText xml:space="preserve"> ADDIN ZOTERO_ITEM CSL_CITATION {"citationID":"WY1hl5Jn","properties":{"formattedCitation":"(Loretz et al., 2017, p. 33)","plainCitation":"(Loretz et al., 2017, p. 33)","noteIndex":0},"citationItems":[{"id":2990,"uris":["http://zotero.org/groups/997303/items/EEER84AL"],"uri":["http://zotero.org/groups/997303/items/EEER84AL"],"itemData":{"id":2990,"type":"report","collection-title":"European Commission - TAXUD/2016/DE/319","title":"Aggressive tax planning indicators. Final Report","URL":"https://ec.europa.eu/taxation_customs/sites/taxation/files/taxation_papers_71_atp_.pdf","author":[{"family":"Loretz","given":"Simon"},{"family":"Sellner","given":"Richard"},{"family":"Brandl","given":"Bianca"},{"family":"Arachi","given":"Giampaolo"},{"family":"Bucci","given":"Valeria"},{"family":"Riet","given":"Maarten","non-dropping-particle":"van't"},{"family":"Aouragh","given":"Ali"}],"accessed":{"date-parts":[["2018",3,8]]},"issued":{"date-parts":[["2017"]]}},"locator":"33"}],"schema":"https://github.com/citation-style-language/schema/raw/master/csl-citation.json"} </w:instrText>
      </w:r>
      <w:r w:rsidRPr="00B90A24">
        <w:rPr>
          <w:sz w:val="28"/>
          <w:szCs w:val="28"/>
        </w:rPr>
        <w:fldChar w:fldCharType="separate"/>
      </w:r>
      <w:r w:rsidR="00B133DE" w:rsidRPr="00B90A24">
        <w:rPr>
          <w:rFonts w:cs="Times New Roman"/>
          <w:sz w:val="28"/>
          <w:szCs w:val="28"/>
        </w:rPr>
        <w:t>(Loretz et al., 2017, p. 33)</w:t>
      </w:r>
      <w:r w:rsidRPr="00B90A24">
        <w:rPr>
          <w:sz w:val="28"/>
          <w:szCs w:val="28"/>
        </w:rPr>
        <w:fldChar w:fldCharType="end"/>
      </w:r>
      <w:r w:rsidRPr="00B90A24">
        <w:rPr>
          <w:sz w:val="28"/>
          <w:szCs w:val="28"/>
        </w:rPr>
        <w:t xml:space="preserve">. </w:t>
      </w:r>
    </w:p>
    <w:p w14:paraId="075F085B" w14:textId="77777777" w:rsidR="00783A4C" w:rsidRPr="00B90A24" w:rsidRDefault="00783A4C" w:rsidP="00B90A24">
      <w:pPr>
        <w:spacing w:after="0" w:line="240" w:lineRule="auto"/>
        <w:ind w:left="426" w:right="1031"/>
        <w:jc w:val="both"/>
        <w:rPr>
          <w:sz w:val="28"/>
          <w:szCs w:val="28"/>
          <w:lang w:eastAsia="en-GB"/>
        </w:rPr>
      </w:pPr>
    </w:p>
    <w:p w14:paraId="448D9CBA" w14:textId="6C9BCDB2" w:rsidR="00695178" w:rsidRPr="00B90A24" w:rsidRDefault="00CB5053" w:rsidP="00D7338C">
      <w:pPr>
        <w:spacing w:after="0" w:line="240" w:lineRule="auto"/>
        <w:ind w:left="567" w:right="1031"/>
        <w:jc w:val="both"/>
        <w:rPr>
          <w:sz w:val="28"/>
          <w:szCs w:val="28"/>
          <w:lang w:eastAsia="en-GB"/>
        </w:rPr>
      </w:pPr>
      <w:r w:rsidRPr="00B90A24">
        <w:rPr>
          <w:sz w:val="28"/>
          <w:szCs w:val="28"/>
          <w:lang w:eastAsia="en-GB"/>
        </w:rPr>
        <w:t xml:space="preserve">Controlled foreign company (CFC) rules allow countries to tax the </w:t>
      </w:r>
      <w:r w:rsidR="00CA7AB3" w:rsidRPr="00B90A24">
        <w:rPr>
          <w:sz w:val="28"/>
          <w:szCs w:val="28"/>
          <w:lang w:eastAsia="en-GB"/>
        </w:rPr>
        <w:t xml:space="preserve">foreign </w:t>
      </w:r>
      <w:r w:rsidRPr="00B90A24">
        <w:rPr>
          <w:sz w:val="28"/>
          <w:szCs w:val="28"/>
          <w:lang w:eastAsia="en-GB"/>
        </w:rPr>
        <w:t xml:space="preserve">profits of locally-based headquarters and its controlled foreign affiliates where they have generated profits in corporate tax havens or secrecy jurisdictions and this income has not been taxed properly or at all. </w:t>
      </w:r>
      <w:r w:rsidR="004F76FF" w:rsidRPr="00B90A24">
        <w:rPr>
          <w:sz w:val="28"/>
          <w:szCs w:val="28"/>
          <w:lang w:eastAsia="en-GB"/>
        </w:rPr>
        <w:t>O</w:t>
      </w:r>
      <w:r w:rsidR="00500C18" w:rsidRPr="00B90A24">
        <w:rPr>
          <w:sz w:val="28"/>
          <w:szCs w:val="28"/>
          <w:lang w:eastAsia="en-GB"/>
        </w:rPr>
        <w:t xml:space="preserve">nly South Africa and Tanzania have some form of </w:t>
      </w:r>
      <w:r w:rsidR="00743350" w:rsidRPr="00B90A24">
        <w:rPr>
          <w:sz w:val="28"/>
          <w:szCs w:val="28"/>
          <w:lang w:eastAsia="en-GB"/>
        </w:rPr>
        <w:t xml:space="preserve">CFC </w:t>
      </w:r>
      <w:r w:rsidR="00500C18" w:rsidRPr="00B90A24">
        <w:rPr>
          <w:sz w:val="28"/>
          <w:szCs w:val="28"/>
          <w:lang w:eastAsia="en-GB"/>
        </w:rPr>
        <w:t>regulations, although Tanzania’s rules follow the weak</w:t>
      </w:r>
      <w:r w:rsidR="00651BA6" w:rsidRPr="00B90A24">
        <w:rPr>
          <w:sz w:val="28"/>
          <w:szCs w:val="28"/>
          <w:lang w:eastAsia="en-GB"/>
        </w:rPr>
        <w:t xml:space="preserve">est version of CFC rules by relying </w:t>
      </w:r>
      <w:r w:rsidR="001A5F94" w:rsidRPr="00B90A24">
        <w:rPr>
          <w:sz w:val="28"/>
          <w:szCs w:val="28"/>
          <w:lang w:eastAsia="en-GB"/>
        </w:rPr>
        <w:t xml:space="preserve">mainly </w:t>
      </w:r>
      <w:r w:rsidR="00651BA6" w:rsidRPr="00B90A24">
        <w:rPr>
          <w:sz w:val="28"/>
          <w:szCs w:val="28"/>
          <w:lang w:eastAsia="en-GB"/>
        </w:rPr>
        <w:t>on</w:t>
      </w:r>
      <w:r w:rsidR="00500C18" w:rsidRPr="00B90A24">
        <w:rPr>
          <w:sz w:val="28"/>
          <w:szCs w:val="28"/>
          <w:lang w:eastAsia="en-GB"/>
        </w:rPr>
        <w:t xml:space="preserve"> </w:t>
      </w:r>
      <w:r w:rsidR="001D4417" w:rsidRPr="00B90A24">
        <w:rPr>
          <w:sz w:val="28"/>
          <w:szCs w:val="28"/>
          <w:lang w:eastAsia="en-GB"/>
        </w:rPr>
        <w:t>the</w:t>
      </w:r>
      <w:r w:rsidR="00500C18" w:rsidRPr="00B90A24">
        <w:rPr>
          <w:sz w:val="28"/>
          <w:szCs w:val="28"/>
          <w:lang w:eastAsia="en-GB"/>
        </w:rPr>
        <w:t xml:space="preserve"> arm’s length principle. </w:t>
      </w:r>
      <w:r w:rsidR="00AF60AC" w:rsidRPr="00B90A24">
        <w:rPr>
          <w:sz w:val="28"/>
          <w:szCs w:val="28"/>
        </w:rPr>
        <w:t xml:space="preserve">Deduction limitation rules for interest, royalties and service payments are weak across African countries. Deductions enable multinational companies to reduce their local taxable income. </w:t>
      </w:r>
    </w:p>
    <w:p w14:paraId="1623EEF6" w14:textId="77777777" w:rsidR="00695178" w:rsidRPr="00B90A24" w:rsidRDefault="00695178" w:rsidP="00B90A24">
      <w:pPr>
        <w:spacing w:after="0" w:line="240" w:lineRule="auto"/>
        <w:ind w:left="426" w:right="1031"/>
        <w:jc w:val="both"/>
        <w:rPr>
          <w:sz w:val="28"/>
          <w:szCs w:val="28"/>
        </w:rPr>
      </w:pPr>
    </w:p>
    <w:p w14:paraId="48F8DDCB" w14:textId="04957AD3" w:rsidR="004D3EA1" w:rsidRPr="00B90A24" w:rsidRDefault="00AF60AC" w:rsidP="00D7338C">
      <w:pPr>
        <w:spacing w:after="0" w:line="240" w:lineRule="auto"/>
        <w:ind w:left="567" w:right="1031"/>
        <w:jc w:val="both"/>
        <w:rPr>
          <w:rFonts w:eastAsia="Verdana" w:cs="Verdana"/>
          <w:sz w:val="28"/>
          <w:szCs w:val="28"/>
        </w:rPr>
      </w:pPr>
      <w:r w:rsidRPr="00B90A24">
        <w:rPr>
          <w:sz w:val="28"/>
          <w:szCs w:val="28"/>
        </w:rPr>
        <w:t>Research shows that d</w:t>
      </w:r>
      <w:r w:rsidRPr="00B90A24">
        <w:rPr>
          <w:rFonts w:eastAsia="Verdana" w:cs="Verdana"/>
          <w:sz w:val="28"/>
          <w:szCs w:val="28"/>
        </w:rPr>
        <w:t xml:space="preserve">eveloping countries are prone to the erosion of their tax base through outbound intra-group interest payments because of their dependence on </w:t>
      </w:r>
      <w:r w:rsidR="6A3075BF" w:rsidRPr="00B90A24">
        <w:rPr>
          <w:rFonts w:eastAsia="Verdana" w:cs="Verdana"/>
          <w:sz w:val="28"/>
          <w:szCs w:val="28"/>
        </w:rPr>
        <w:t>FDI</w:t>
      </w:r>
      <w:r w:rsidRPr="00B90A24">
        <w:rPr>
          <w:rFonts w:eastAsia="Verdana" w:cs="Verdana"/>
          <w:sz w:val="28"/>
          <w:szCs w:val="28"/>
        </w:rPr>
        <w:t>, which is mostly financed by loans</w:t>
      </w:r>
      <w:r w:rsidR="00983A09" w:rsidRPr="00B90A24">
        <w:rPr>
          <w:rFonts w:eastAsia="Verdana" w:cs="Verdana"/>
          <w:sz w:val="28"/>
          <w:szCs w:val="28"/>
        </w:rPr>
        <w:t xml:space="preserve"> </w:t>
      </w:r>
      <w:r w:rsidR="00983A09"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{"citationID":"fcQEAEee","properties":{"formattedCitation":"(Ault &amp; Arnold, 2017, p. 11)","plainCitation":"(Ault &amp; Arnold, 2017, p. 11)","noteIndex":0},"citationItems":[{"id":4138,"uris":["http://zotero.org/groups/997303/items/LPL8J8QZ"],"uri":["http://zotero.org/groups/997303/items/LPL8J8QZ"],"itemData":{"id":4138,"type":"chapter","container-title":"United Nations Handbook on Selected Issues in Protecting the Tax Base of Developing Countries","edition":"Second","event-place":"New York","page":"1-59","publisher":"United Nations","publisher-place":"New York","title":"Chapter 1: Protecting the tax base of developing countries: an overview","author":[{"family":"Ault","given":"Hugh J."},{"family":"Arnold","given":"Brian J."}],"editor":[{"family":"Trepelkov","given":"Alexander"},{"family":"Tonito","given":"Harry"},{"family":"Halka","given":"Dominika"}],"issued":{"date-parts":[["2017"]]}},"locator":"11"}],"schema":"https://github.com/citation-style-language/schema/raw/master/csl-citation.json"} </w:instrText>
      </w:r>
      <w:r w:rsidR="00983A09" w:rsidRPr="00B90A24">
        <w:rPr>
          <w:rFonts w:eastAsia="Verdana" w:cs="Verdana"/>
          <w:sz w:val="28"/>
          <w:szCs w:val="28"/>
        </w:rPr>
        <w:fldChar w:fldCharType="separate"/>
      </w:r>
      <w:r w:rsidR="00B133DE" w:rsidRPr="00B90A24">
        <w:rPr>
          <w:rFonts w:cs="Times New Roman"/>
          <w:sz w:val="28"/>
          <w:szCs w:val="28"/>
        </w:rPr>
        <w:t xml:space="preserve">(Ault &amp; Arnold, 2017, p. </w:t>
      </w:r>
      <w:r w:rsidR="00B133DE" w:rsidRPr="00B90A24">
        <w:rPr>
          <w:rFonts w:cs="Times New Roman"/>
          <w:sz w:val="28"/>
          <w:szCs w:val="28"/>
        </w:rPr>
        <w:lastRenderedPageBreak/>
        <w:t>11)</w:t>
      </w:r>
      <w:r w:rsidR="00983A09" w:rsidRPr="00B90A24">
        <w:rPr>
          <w:rFonts w:eastAsia="Verdana" w:cs="Verdana"/>
          <w:sz w:val="28"/>
          <w:szCs w:val="28"/>
        </w:rPr>
        <w:fldChar w:fldCharType="end"/>
      </w:r>
      <w:r w:rsidRPr="00B90A24">
        <w:rPr>
          <w:rFonts w:eastAsia="Verdana" w:cs="Verdana"/>
          <w:sz w:val="28"/>
          <w:szCs w:val="28"/>
        </w:rPr>
        <w:t>.</w:t>
      </w:r>
      <w:r w:rsidRPr="00B90A24">
        <w:rPr>
          <w:rStyle w:val="FootnoteReference"/>
          <w:sz w:val="28"/>
          <w:szCs w:val="28"/>
        </w:rPr>
        <w:footnoteReference w:id="15"/>
      </w:r>
      <w:r w:rsidRPr="00B90A24">
        <w:rPr>
          <w:rFonts w:eastAsia="Verdana" w:cs="Verdana"/>
          <w:sz w:val="28"/>
          <w:szCs w:val="28"/>
        </w:rPr>
        <w:t xml:space="preserve"> </w:t>
      </w:r>
      <w:r w:rsidR="004D3EA1" w:rsidRPr="00B90A24">
        <w:rPr>
          <w:sz w:val="28"/>
          <w:szCs w:val="28"/>
        </w:rPr>
        <w:t xml:space="preserve">The absence of rules limiting the deduction of royalty payments for intellectual property or intangibles between intra-group companies from the corporate income tax base put countries at </w:t>
      </w:r>
      <w:r w:rsidR="00BE1C35" w:rsidRPr="00B90A24">
        <w:rPr>
          <w:sz w:val="28"/>
          <w:szCs w:val="28"/>
        </w:rPr>
        <w:t xml:space="preserve">great </w:t>
      </w:r>
      <w:r w:rsidR="004D3EA1" w:rsidRPr="00B90A24">
        <w:rPr>
          <w:sz w:val="28"/>
          <w:szCs w:val="28"/>
        </w:rPr>
        <w:t>risk</w:t>
      </w:r>
      <w:r w:rsidR="00BE1C35" w:rsidRPr="00B90A24">
        <w:rPr>
          <w:sz w:val="28"/>
          <w:szCs w:val="28"/>
        </w:rPr>
        <w:t>, especially when considering the proliferation and legitimisation of patent boxes through the OECD’s modified nexus rules</w:t>
      </w:r>
      <w:r w:rsidR="00E7545A" w:rsidRPr="00B90A24">
        <w:rPr>
          <w:sz w:val="28"/>
          <w:szCs w:val="28"/>
        </w:rPr>
        <w:t xml:space="preserve"> (see </w:t>
      </w:r>
      <w:r w:rsidR="00E7545A" w:rsidRPr="00B90A24">
        <w:rPr>
          <w:sz w:val="28"/>
          <w:szCs w:val="28"/>
        </w:rPr>
        <w:fldChar w:fldCharType="begin"/>
      </w:r>
      <w:r w:rsidR="00E7545A" w:rsidRPr="00B90A24">
        <w:rPr>
          <w:sz w:val="28"/>
          <w:szCs w:val="28"/>
        </w:rPr>
        <w:instrText xml:space="preserve"> REF _Ref37919144 \r \h </w:instrText>
      </w:r>
      <w:r w:rsidR="00595FF1" w:rsidRPr="00B90A24">
        <w:rPr>
          <w:sz w:val="28"/>
          <w:szCs w:val="28"/>
        </w:rPr>
        <w:instrText xml:space="preserve"> \* MERGEFORMAT </w:instrText>
      </w:r>
      <w:r w:rsidR="00E7545A" w:rsidRPr="00B90A24">
        <w:rPr>
          <w:sz w:val="28"/>
          <w:szCs w:val="28"/>
        </w:rPr>
      </w:r>
      <w:r w:rsidR="00E7545A" w:rsidRPr="00B90A24">
        <w:rPr>
          <w:sz w:val="28"/>
          <w:szCs w:val="28"/>
        </w:rPr>
        <w:fldChar w:fldCharType="separate"/>
      </w:r>
      <w:r w:rsidR="00B122C4" w:rsidRPr="00B90A24">
        <w:rPr>
          <w:sz w:val="28"/>
          <w:szCs w:val="28"/>
        </w:rPr>
        <w:t>3.2</w:t>
      </w:r>
      <w:r w:rsidR="00E7545A" w:rsidRPr="00B90A24">
        <w:rPr>
          <w:sz w:val="28"/>
          <w:szCs w:val="28"/>
        </w:rPr>
        <w:fldChar w:fldCharType="end"/>
      </w:r>
      <w:r w:rsidR="00E7545A" w:rsidRPr="00B90A24">
        <w:rPr>
          <w:sz w:val="28"/>
          <w:szCs w:val="28"/>
        </w:rPr>
        <w:t>)</w:t>
      </w:r>
      <w:r w:rsidR="004D3EA1" w:rsidRPr="00B90A24">
        <w:rPr>
          <w:sz w:val="28"/>
          <w:szCs w:val="28"/>
        </w:rPr>
        <w:t xml:space="preserve">. </w:t>
      </w:r>
      <w:r w:rsidR="00341348" w:rsidRPr="00B90A24">
        <w:rPr>
          <w:sz w:val="28"/>
          <w:szCs w:val="28"/>
        </w:rPr>
        <w:t>As Figure 13 shows, t</w:t>
      </w:r>
      <w:r w:rsidR="004D3EA1" w:rsidRPr="00B90A24">
        <w:rPr>
          <w:rFonts w:eastAsia="Verdana" w:cs="Verdana"/>
          <w:sz w:val="28"/>
          <w:szCs w:val="28"/>
        </w:rPr>
        <w:t>he majority of African countries do not limit the deduction of intra-group royalty payments</w:t>
      </w:r>
      <w:r w:rsidR="00341348" w:rsidRPr="00B90A24">
        <w:rPr>
          <w:rFonts w:eastAsia="Verdana" w:cs="Verdana"/>
          <w:sz w:val="28"/>
          <w:szCs w:val="28"/>
        </w:rPr>
        <w:t>; the case of South Africa is described below</w:t>
      </w:r>
      <w:r w:rsidR="004D3EA1" w:rsidRPr="00B90A24">
        <w:rPr>
          <w:rFonts w:eastAsia="Verdana" w:cs="Verdana"/>
          <w:sz w:val="28"/>
          <w:szCs w:val="28"/>
        </w:rPr>
        <w:t xml:space="preserve">. Nevertheless, </w:t>
      </w:r>
      <w:r w:rsidR="00C833B0" w:rsidRPr="00B90A24">
        <w:rPr>
          <w:rFonts w:eastAsia="Verdana" w:cs="Verdana"/>
          <w:sz w:val="28"/>
          <w:szCs w:val="28"/>
        </w:rPr>
        <w:t xml:space="preserve">the </w:t>
      </w:r>
      <w:r w:rsidR="00422DA1" w:rsidRPr="00B90A24">
        <w:rPr>
          <w:rFonts w:eastAsia="Verdana" w:cs="Verdana"/>
          <w:sz w:val="28"/>
          <w:szCs w:val="28"/>
        </w:rPr>
        <w:t xml:space="preserve">average </w:t>
      </w:r>
      <w:r w:rsidR="00C833B0" w:rsidRPr="00B90A24">
        <w:rPr>
          <w:rFonts w:eastAsia="Verdana" w:cs="Verdana"/>
          <w:sz w:val="28"/>
          <w:szCs w:val="28"/>
        </w:rPr>
        <w:t xml:space="preserve">haven scores of </w:t>
      </w:r>
      <w:r w:rsidR="004D3EA1" w:rsidRPr="00B90A24">
        <w:rPr>
          <w:rFonts w:eastAsia="Verdana" w:cs="Verdana"/>
          <w:sz w:val="28"/>
          <w:szCs w:val="28"/>
        </w:rPr>
        <w:t xml:space="preserve">OECD and </w:t>
      </w:r>
      <w:r w:rsidR="00340231" w:rsidRPr="00B90A24">
        <w:rPr>
          <w:rFonts w:eastAsia="Verdana" w:cs="Verdana"/>
          <w:sz w:val="28"/>
          <w:szCs w:val="28"/>
        </w:rPr>
        <w:t>EU</w:t>
      </w:r>
      <w:r w:rsidR="004D3EA1" w:rsidRPr="00B90A24">
        <w:rPr>
          <w:rFonts w:eastAsia="Verdana" w:cs="Verdana"/>
          <w:sz w:val="28"/>
          <w:szCs w:val="28"/>
        </w:rPr>
        <w:t xml:space="preserve"> countries and their dependencies</w:t>
      </w:r>
      <w:r w:rsidR="007C57F7" w:rsidRPr="00B90A24">
        <w:rPr>
          <w:rFonts w:eastAsia="Verdana" w:cs="Verdana"/>
          <w:sz w:val="28"/>
          <w:szCs w:val="28"/>
        </w:rPr>
        <w:t xml:space="preserve"> </w:t>
      </w:r>
      <w:r w:rsidR="00C833B0" w:rsidRPr="00B90A24">
        <w:rPr>
          <w:rFonts w:eastAsia="Verdana" w:cs="Verdana"/>
          <w:sz w:val="28"/>
          <w:szCs w:val="28"/>
        </w:rPr>
        <w:t xml:space="preserve">are even higher </w:t>
      </w:r>
      <w:r w:rsidR="002C7E5D" w:rsidRPr="00B90A24">
        <w:rPr>
          <w:rFonts w:eastAsia="Verdana" w:cs="Verdana"/>
          <w:sz w:val="28"/>
          <w:szCs w:val="28"/>
        </w:rPr>
        <w:t xml:space="preserve">in this indicator </w:t>
      </w:r>
      <w:r w:rsidR="00D14EA1" w:rsidRPr="00B90A24">
        <w:rPr>
          <w:rFonts w:eastAsia="Verdana" w:cs="Verdana"/>
          <w:sz w:val="28"/>
          <w:szCs w:val="28"/>
        </w:rPr>
        <w:t xml:space="preserve">than African </w:t>
      </w:r>
      <w:r w:rsidR="00F03165" w:rsidRPr="00B90A24">
        <w:rPr>
          <w:rFonts w:eastAsia="Verdana" w:cs="Verdana"/>
          <w:sz w:val="28"/>
          <w:szCs w:val="28"/>
        </w:rPr>
        <w:t>countries</w:t>
      </w:r>
      <w:r w:rsidR="00422DA1" w:rsidRPr="00B90A24">
        <w:rPr>
          <w:rFonts w:eastAsia="Verdana" w:cs="Verdana"/>
          <w:sz w:val="28"/>
          <w:szCs w:val="28"/>
        </w:rPr>
        <w:t>’ average</w:t>
      </w:r>
      <w:r w:rsidR="0061004D" w:rsidRPr="00B90A24">
        <w:rPr>
          <w:rFonts w:eastAsia="Verdana" w:cs="Verdana"/>
          <w:sz w:val="28"/>
          <w:szCs w:val="28"/>
        </w:rPr>
        <w:t xml:space="preserve"> score</w:t>
      </w:r>
      <w:r w:rsidR="004D3EA1" w:rsidRPr="00B90A24">
        <w:rPr>
          <w:rFonts w:eastAsia="Verdana" w:cs="Verdana"/>
          <w:sz w:val="28"/>
          <w:szCs w:val="28"/>
        </w:rPr>
        <w:t>.</w:t>
      </w:r>
    </w:p>
    <w:p w14:paraId="7A4B9C67" w14:textId="77777777" w:rsidR="00783A4C" w:rsidRPr="00B90A24" w:rsidRDefault="00783A4C" w:rsidP="00B90A24">
      <w:pPr>
        <w:spacing w:after="0" w:line="240" w:lineRule="auto"/>
        <w:jc w:val="both"/>
        <w:rPr>
          <w:rFonts w:eastAsia="Verdana" w:cs="Verdana"/>
          <w:sz w:val="28"/>
          <w:szCs w:val="28"/>
        </w:rPr>
      </w:pPr>
    </w:p>
    <w:p w14:paraId="179977C4" w14:textId="77777777" w:rsidR="00745F35" w:rsidRPr="00B90A24" w:rsidRDefault="00743350" w:rsidP="00B90A24">
      <w:pPr>
        <w:pStyle w:val="Caption"/>
        <w:tabs>
          <w:tab w:val="left" w:pos="709"/>
        </w:tabs>
        <w:spacing w:after="0"/>
        <w:ind w:left="851"/>
        <w:rPr>
          <w:sz w:val="28"/>
          <w:szCs w:val="28"/>
        </w:rPr>
      </w:pPr>
      <w:bookmarkStart w:id="45" w:name="_Toc17883046"/>
      <w:bookmarkStart w:id="46" w:name="_Hlk37057193"/>
      <w:r w:rsidRPr="00B90A24">
        <w:rPr>
          <w:noProof/>
          <w:color w:val="auto"/>
          <w:sz w:val="28"/>
          <w:szCs w:val="28"/>
        </w:rPr>
        <w:drawing>
          <wp:inline distT="0" distB="0" distL="0" distR="0" wp14:anchorId="016C314B" wp14:editId="22D0AB50">
            <wp:extent cx="5458265" cy="2877820"/>
            <wp:effectExtent l="0" t="0" r="15875" b="17780"/>
            <wp:docPr id="17" name="Chart 17">
              <a:extLst xmlns:a="http://schemas.openxmlformats.org/drawingml/2006/main">
                <a:ext uri="{FF2B5EF4-FFF2-40B4-BE49-F238E27FC236}">
                  <a16:creationId xmlns:a16="http://schemas.microsoft.com/office/drawing/2014/main" id="{FD62D6DB-B051-4FBA-9F95-EE7B79371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82043A" w14:textId="302F09D8" w:rsidR="00783A4C" w:rsidRPr="00B90A24" w:rsidRDefault="00341348" w:rsidP="00B90A24">
      <w:pPr>
        <w:pStyle w:val="Caption"/>
        <w:spacing w:after="0"/>
        <w:ind w:left="709"/>
        <w:rPr>
          <w:sz w:val="28"/>
          <w:szCs w:val="28"/>
        </w:rPr>
      </w:pPr>
      <w:r w:rsidRPr="00B90A24">
        <w:rPr>
          <w:sz w:val="28"/>
          <w:szCs w:val="28"/>
        </w:rPr>
        <w:t xml:space="preserve">Figure </w:t>
      </w:r>
      <w:r w:rsidRPr="00B90A24">
        <w:rPr>
          <w:sz w:val="28"/>
          <w:szCs w:val="28"/>
        </w:rPr>
        <w:fldChar w:fldCharType="begin"/>
      </w:r>
      <w:r w:rsidRPr="00B90A24">
        <w:rPr>
          <w:sz w:val="28"/>
          <w:szCs w:val="28"/>
        </w:rPr>
        <w:instrText xml:space="preserve"> SEQ Figure \* ARABIC </w:instrText>
      </w:r>
      <w:r w:rsidRPr="00B90A24">
        <w:rPr>
          <w:sz w:val="28"/>
          <w:szCs w:val="28"/>
        </w:rPr>
        <w:fldChar w:fldCharType="separate"/>
      </w:r>
      <w:r w:rsidR="00E73F68" w:rsidRPr="00B90A24">
        <w:rPr>
          <w:noProof/>
          <w:sz w:val="28"/>
          <w:szCs w:val="28"/>
        </w:rPr>
        <w:t>13</w:t>
      </w:r>
      <w:r w:rsidRPr="00B90A24">
        <w:rPr>
          <w:sz w:val="28"/>
          <w:szCs w:val="28"/>
        </w:rPr>
        <w:fldChar w:fldCharType="end"/>
      </w:r>
      <w:r w:rsidRPr="00B90A24">
        <w:rPr>
          <w:sz w:val="28"/>
          <w:szCs w:val="28"/>
        </w:rPr>
        <w:t>. Haven Indicator 16: Deduction limitation for royalties</w:t>
      </w:r>
      <w:bookmarkEnd w:id="45"/>
    </w:p>
    <w:p w14:paraId="2CA65BD5" w14:textId="77777777" w:rsidR="00783A4C" w:rsidRPr="00B90A24" w:rsidRDefault="00783A4C" w:rsidP="00B90A24">
      <w:pPr>
        <w:autoSpaceDE w:val="0"/>
        <w:autoSpaceDN w:val="0"/>
        <w:adjustRightInd w:val="0"/>
        <w:spacing w:after="0" w:line="240" w:lineRule="auto"/>
        <w:jc w:val="both"/>
        <w:rPr>
          <w:rFonts w:eastAsia="Verdana" w:cs="Verdana"/>
          <w:sz w:val="28"/>
          <w:szCs w:val="28"/>
        </w:rPr>
      </w:pPr>
      <w:bookmarkStart w:id="47" w:name="_Hlk533427803"/>
      <w:bookmarkEnd w:id="46"/>
    </w:p>
    <w:p w14:paraId="61E69645" w14:textId="6B63A065" w:rsidR="004D3EA1" w:rsidRPr="00B90A24" w:rsidRDefault="004D3EA1" w:rsidP="00D7338C">
      <w:pPr>
        <w:autoSpaceDE w:val="0"/>
        <w:autoSpaceDN w:val="0"/>
        <w:adjustRightInd w:val="0"/>
        <w:spacing w:after="0" w:line="240" w:lineRule="auto"/>
        <w:ind w:left="567" w:right="890"/>
        <w:jc w:val="both"/>
        <w:rPr>
          <w:rFonts w:eastAsia="Verdana" w:cs="Verdana"/>
          <w:sz w:val="28"/>
          <w:szCs w:val="28"/>
        </w:rPr>
      </w:pPr>
      <w:r w:rsidRPr="00B90A24">
        <w:rPr>
          <w:rFonts w:eastAsia="Verdana" w:cs="Verdana"/>
          <w:sz w:val="28"/>
          <w:szCs w:val="28"/>
        </w:rPr>
        <w:t xml:space="preserve">Royalties are payments for the right to a temporary use of intellectual property </w:t>
      </w:r>
      <w:r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{"citationID":"gqk1JiCw","properties":{"formattedCitation":"(Ault &amp; Arnold, 2017, p. 44)","plainCitation":"(Ault &amp; Arnold, 2017, p. 44)","noteIndex":0},"citationItems":[{"id":4138,"uris":["http://zotero.org/groups/997303/items/LPL8J8QZ"],"uri":["http://zotero.org/groups/997303/items/LPL8J8QZ"],"itemData":{"id":4138,"type":"chapter","container-title":"United Nations Handbook on Selected Issues in Protecting the Tax Base of Developing Countries","edition":"Second","event-place":"New York","page":"1-59","publisher":"United Nations","publisher-place":"New York","title":"Chapter 1: Protecting the tax base of developing countries: an overview","author":[{"family":"Ault","given":"Hugh J."},{"family":"Arnold","given":"Brian J."}],"editor":[{"family":"Trepelkov","given":"Alexander"},{"family":"Tonito","given":"Harry"},{"family":"Halka","given":"Dominika"}],"issued":{"date-parts":[["2017"]]}},"locator":"44"}],"schema":"https://github.com/citation-style-language/schema/raw/master/csl-citation.json"} </w:instrText>
      </w:r>
      <w:r w:rsidRPr="00B90A24">
        <w:rPr>
          <w:rFonts w:eastAsia="Verdana" w:cs="Verdana"/>
          <w:sz w:val="28"/>
          <w:szCs w:val="28"/>
        </w:rPr>
        <w:fldChar w:fldCharType="separate"/>
      </w:r>
      <w:r w:rsidR="00B133DE" w:rsidRPr="00B90A24">
        <w:rPr>
          <w:rFonts w:cs="Times New Roman"/>
          <w:sz w:val="28"/>
          <w:szCs w:val="28"/>
        </w:rPr>
        <w:t>(Ault &amp; Arnold, 2017, p. 44)</w:t>
      </w:r>
      <w:r w:rsidRPr="00B90A24">
        <w:rPr>
          <w:rFonts w:eastAsia="Verdana" w:cs="Verdana"/>
          <w:sz w:val="28"/>
          <w:szCs w:val="28"/>
        </w:rPr>
        <w:fldChar w:fldCharType="end"/>
      </w:r>
      <w:r w:rsidRPr="00B90A24">
        <w:rPr>
          <w:rFonts w:eastAsia="Verdana" w:cs="Verdana"/>
          <w:sz w:val="28"/>
          <w:szCs w:val="28"/>
        </w:rPr>
        <w:t>.</w:t>
      </w:r>
      <w:bookmarkEnd w:id="47"/>
      <w:r w:rsidR="00CE442D" w:rsidRPr="00B90A24">
        <w:rPr>
          <w:rStyle w:val="FootnoteReference"/>
          <w:sz w:val="28"/>
          <w:szCs w:val="28"/>
        </w:rPr>
        <w:footnoteReference w:id="16"/>
      </w:r>
      <w:r w:rsidRPr="00B90A24">
        <w:rPr>
          <w:rFonts w:eastAsia="Verdana" w:cs="Verdana"/>
          <w:sz w:val="28"/>
          <w:szCs w:val="28"/>
        </w:rPr>
        <w:t xml:space="preserve"> Similar to interest payments, royalties are normally considered deductible expenses for the taxpayer and are often abused by companies that engage in profit shifting to reduce their taxable profits. When a company that deducts royalties from its income is based in a high tax jurisdiction and its subsidiary that receives the royalties is in a low (or zero) tax jurisdiction</w:t>
      </w:r>
      <w:r w:rsidR="00C30895" w:rsidRPr="00B90A24">
        <w:rPr>
          <w:rFonts w:eastAsia="Verdana" w:cs="Verdana"/>
          <w:sz w:val="28"/>
          <w:szCs w:val="28"/>
        </w:rPr>
        <w:t xml:space="preserve"> or </w:t>
      </w:r>
      <w:r w:rsidR="001237E1" w:rsidRPr="00B90A24">
        <w:rPr>
          <w:rFonts w:eastAsia="Verdana" w:cs="Verdana"/>
          <w:sz w:val="28"/>
          <w:szCs w:val="28"/>
        </w:rPr>
        <w:t xml:space="preserve">in </w:t>
      </w:r>
      <w:r w:rsidR="00C30895" w:rsidRPr="00B90A24">
        <w:rPr>
          <w:rFonts w:eastAsia="Verdana" w:cs="Verdana"/>
          <w:sz w:val="28"/>
          <w:szCs w:val="28"/>
        </w:rPr>
        <w:t xml:space="preserve">a country </w:t>
      </w:r>
      <w:r w:rsidR="001237E1" w:rsidRPr="00B90A24">
        <w:rPr>
          <w:rFonts w:eastAsia="Verdana" w:cs="Verdana"/>
          <w:sz w:val="28"/>
          <w:szCs w:val="28"/>
        </w:rPr>
        <w:t>with a patent box</w:t>
      </w:r>
      <w:r w:rsidRPr="00B90A24">
        <w:rPr>
          <w:rFonts w:eastAsia="Verdana" w:cs="Verdana"/>
          <w:sz w:val="28"/>
          <w:szCs w:val="28"/>
        </w:rPr>
        <w:t xml:space="preserve">, then the multinational company may end up paying very low or no tax. This is because the deduction of royalties lowers the tax base of the </w:t>
      </w:r>
      <w:r w:rsidR="00AA7877" w:rsidRPr="00B90A24">
        <w:rPr>
          <w:rFonts w:eastAsia="Verdana" w:cs="Verdana"/>
          <w:sz w:val="28"/>
          <w:szCs w:val="28"/>
        </w:rPr>
        <w:t xml:space="preserve">payer </w:t>
      </w:r>
      <w:r w:rsidRPr="00B90A24">
        <w:rPr>
          <w:rFonts w:eastAsia="Verdana" w:cs="Verdana"/>
          <w:sz w:val="28"/>
          <w:szCs w:val="28"/>
        </w:rPr>
        <w:t>company in the high tax jurisdiction while very low or no tax is levied on the royalties’ income in the jurisdiction</w:t>
      </w:r>
      <w:r w:rsidR="00770C9E" w:rsidRPr="00B90A24">
        <w:rPr>
          <w:rFonts w:eastAsia="Verdana" w:cs="Verdana"/>
          <w:sz w:val="28"/>
          <w:szCs w:val="28"/>
        </w:rPr>
        <w:t xml:space="preserve"> of the receiving payee</w:t>
      </w:r>
      <w:r w:rsidRPr="00B90A24">
        <w:rPr>
          <w:rFonts w:eastAsia="Verdana" w:cs="Verdana"/>
          <w:sz w:val="28"/>
          <w:szCs w:val="28"/>
        </w:rPr>
        <w:t xml:space="preserve">. Such cross-border royalty payments result in significant base erosion and profit shifting and have become increasingly prevalent given the large sums that multinational companies claim to derive from the exploitation of intellectual property </w:t>
      </w:r>
      <w:r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{"citationID":"r6BgfNEw","properties":{"formattedCitation":"(HM Revenue &amp; Customs, 2016, p. 4)","plainCitation":"(HM Revenue &amp; Customs, 2016, p. 4)","noteIndex":0},"citationItems":[{"id":4069,"uris":["http://zotero.org/groups/997303/items/IBBLT5RU"],"uri":["http://zotero.org/groups/997303/items/IBBLT5RU"],"itemData":{"id":4069,"type":"webpage","title":"Deduction of income tax at source: Royalties","URL":"https://assets.publishing.service.gov.uk/government/uploads/system/uploads/attachment_data/file/532314/M1070_revised_TN_final.pdf","author":[{"family":"HM Revenue &amp; Customs","given":""}],"accessed":{"date-parts":[["2019",5,14]]},"issued":{"date-parts":[["2016",6,27]]}},"locator":"4"}],"schema":"https://github.com/citation-style-language/schema/raw/master/csl-citation.json"} </w:instrText>
      </w:r>
      <w:r w:rsidRPr="00B90A24">
        <w:rPr>
          <w:rFonts w:eastAsia="Verdana" w:cs="Verdana"/>
          <w:sz w:val="28"/>
          <w:szCs w:val="28"/>
        </w:rPr>
        <w:fldChar w:fldCharType="separate"/>
      </w:r>
      <w:r w:rsidR="00B133DE" w:rsidRPr="00B90A24">
        <w:rPr>
          <w:rFonts w:cs="Times New Roman"/>
          <w:sz w:val="28"/>
          <w:szCs w:val="28"/>
        </w:rPr>
        <w:t>(HM Revenue &amp; Customs, 2016, p. 4)</w:t>
      </w:r>
      <w:r w:rsidRPr="00B90A24">
        <w:rPr>
          <w:rFonts w:eastAsia="Verdana" w:cs="Verdana"/>
          <w:sz w:val="28"/>
          <w:szCs w:val="28"/>
        </w:rPr>
        <w:fldChar w:fldCharType="end"/>
      </w:r>
      <w:r w:rsidRPr="00B90A24">
        <w:rPr>
          <w:rFonts w:eastAsia="Verdana" w:cs="Verdana"/>
          <w:sz w:val="28"/>
          <w:szCs w:val="28"/>
        </w:rPr>
        <w:t xml:space="preserve">. </w:t>
      </w:r>
      <w:r w:rsidR="00066779" w:rsidRPr="00B90A24">
        <w:rPr>
          <w:rFonts w:eastAsia="Verdana" w:cs="Verdana"/>
          <w:sz w:val="28"/>
          <w:szCs w:val="28"/>
        </w:rPr>
        <w:t>As discussed earlier, this is of particular pertinence in the increasingly digitalised economy.</w:t>
      </w:r>
    </w:p>
    <w:p w14:paraId="430B2ACC" w14:textId="77777777" w:rsidR="00783A4C" w:rsidRPr="00B90A24" w:rsidRDefault="00783A4C" w:rsidP="00B90A24">
      <w:pPr>
        <w:autoSpaceDE w:val="0"/>
        <w:autoSpaceDN w:val="0"/>
        <w:adjustRightInd w:val="0"/>
        <w:spacing w:after="0" w:line="240" w:lineRule="auto"/>
        <w:ind w:left="567" w:right="890"/>
        <w:jc w:val="both"/>
        <w:rPr>
          <w:rFonts w:eastAsia="Verdana" w:cs="Verdana"/>
          <w:sz w:val="28"/>
          <w:szCs w:val="28"/>
        </w:rPr>
      </w:pPr>
    </w:p>
    <w:p w14:paraId="62513728" w14:textId="21725E4F" w:rsidR="004D3EA1" w:rsidRPr="00B90A24" w:rsidRDefault="004D3EA1" w:rsidP="00B90A24">
      <w:pPr>
        <w:autoSpaceDE w:val="0"/>
        <w:autoSpaceDN w:val="0"/>
        <w:adjustRightInd w:val="0"/>
        <w:spacing w:after="0" w:line="240" w:lineRule="auto"/>
        <w:ind w:left="567" w:right="890"/>
        <w:jc w:val="both"/>
        <w:rPr>
          <w:rFonts w:eastAsia="Verdana" w:cs="Verdana"/>
          <w:sz w:val="28"/>
          <w:szCs w:val="28"/>
        </w:rPr>
      </w:pPr>
      <w:r w:rsidRPr="00B90A24">
        <w:rPr>
          <w:rFonts w:eastAsia="Verdana" w:cs="Verdana"/>
          <w:sz w:val="28"/>
          <w:szCs w:val="28"/>
        </w:rPr>
        <w:lastRenderedPageBreak/>
        <w:t xml:space="preserve">The risk that royalty deductions will erode the tax base </w:t>
      </w:r>
      <w:r w:rsidRPr="00B90A24">
        <w:rPr>
          <w:rFonts w:eastAsia="Verdana" w:cs="Arial"/>
          <w:sz w:val="28"/>
          <w:szCs w:val="28"/>
          <w:lang w:val="en-US" w:bidi="he-IL"/>
        </w:rPr>
        <w:t>is</w:t>
      </w:r>
      <w:r w:rsidRPr="00B90A24">
        <w:rPr>
          <w:rFonts w:eastAsia="Verdana" w:cs="Verdana"/>
          <w:sz w:val="28"/>
          <w:szCs w:val="28"/>
        </w:rPr>
        <w:t xml:space="preserve"> of primary concern in cases where a tax treaty limits the taxing rights on royalties in the payer’s jurisdiction. The payer’s country where royalties are deducted is more exposed to risks of base erosion and profit shifting than the payee’s country. In addition, </w:t>
      </w:r>
      <w:r w:rsidRPr="00B90A24">
        <w:rPr>
          <w:rFonts w:eastAsia="Verdana" w:cs="Verdana"/>
          <w:sz w:val="28"/>
          <w:szCs w:val="28"/>
          <w:lang w:eastAsia="de-DE" w:bidi="he-IL"/>
        </w:rPr>
        <w:t xml:space="preserve">mismatches between the characterisation of a transaction involving royalty payments under the domestic law of two countries may enable taxpayers to structure hybrid transactions to exploit these mismatches </w:t>
      </w:r>
      <w:r w:rsidRPr="00B90A24">
        <w:rPr>
          <w:rFonts w:eastAsia="Verdana" w:cs="Verdana"/>
          <w:sz w:val="28"/>
          <w:szCs w:val="28"/>
          <w:lang w:eastAsia="de-DE" w:bidi="he-IL"/>
        </w:rPr>
        <w:fldChar w:fldCharType="begin"/>
      </w:r>
      <w:r w:rsidR="00500851" w:rsidRPr="00B90A24">
        <w:rPr>
          <w:rFonts w:eastAsia="Verdana" w:cs="Verdana"/>
          <w:sz w:val="28"/>
          <w:szCs w:val="28"/>
          <w:lang w:eastAsia="de-DE" w:bidi="he-IL"/>
        </w:rPr>
        <w:instrText xml:space="preserve"> ADDIN ZOTERO_ITEM CSL_CITATION {"citationID":"3wKM3kIV","properties":{"formattedCitation":"(Ault &amp; Arnold, 2017, p. 44)","plainCitation":"(Ault &amp; Arnold, 2017, p. 44)","noteIndex":0},"citationItems":[{"id":4138,"uris":["http://zotero.org/groups/997303/items/LPL8J8QZ"],"uri":["http://zotero.org/groups/997303/items/LPL8J8QZ"],"itemData":{"id":4138,"type":"chapter","container-title":"United Nations Handbook on Selected Issues in Protecting the Tax Base of Developing Countries","edition":"Second","event-place":"New York","page":"1-59","publisher":"United Nations","publisher-place":"New York","title":"Chapter 1: Protecting the tax base of developing countries: an overview","author":[{"family":"Ault","given":"Hugh J."},{"family":"Arnold","given":"Brian J."}],"editor":[{"family":"Trepelkov","given":"Alexander"},{"family":"Tonito","given":"Harry"},{"family":"Halka","given":"Dominika"}],"issued":{"date-parts":[["2017"]]}},"locator":"44"}],"schema":"https://github.com/citation-style-language/schema/raw/master/csl-citation.json"} </w:instrText>
      </w:r>
      <w:r w:rsidRPr="00B90A24">
        <w:rPr>
          <w:rFonts w:eastAsia="Verdana" w:cs="Verdana"/>
          <w:sz w:val="28"/>
          <w:szCs w:val="28"/>
          <w:lang w:eastAsia="de-DE" w:bidi="he-IL"/>
        </w:rPr>
        <w:fldChar w:fldCharType="separate"/>
      </w:r>
      <w:r w:rsidR="00B133DE" w:rsidRPr="00B90A24">
        <w:rPr>
          <w:rFonts w:cs="Times New Roman"/>
          <w:sz w:val="28"/>
          <w:szCs w:val="28"/>
        </w:rPr>
        <w:t>(Ault &amp; Arnold, 2017, p. 44)</w:t>
      </w:r>
      <w:r w:rsidRPr="00B90A24">
        <w:rPr>
          <w:rFonts w:eastAsia="Verdana" w:cs="Verdana"/>
          <w:sz w:val="28"/>
          <w:szCs w:val="28"/>
          <w:lang w:eastAsia="de-DE" w:bidi="he-IL"/>
        </w:rPr>
        <w:fldChar w:fldCharType="end"/>
      </w:r>
      <w:r w:rsidRPr="00B90A24">
        <w:rPr>
          <w:rFonts w:eastAsia="Verdana" w:cs="Verdana"/>
          <w:sz w:val="28"/>
          <w:szCs w:val="28"/>
          <w:lang w:eastAsia="de-DE" w:bidi="he-IL"/>
        </w:rPr>
        <w:t>.</w:t>
      </w:r>
      <w:r w:rsidR="00783A4C" w:rsidRPr="00B90A24">
        <w:rPr>
          <w:rFonts w:eastAsia="Verdana" w:cs="Verdana"/>
          <w:sz w:val="28"/>
          <w:szCs w:val="28"/>
        </w:rPr>
        <w:t xml:space="preserve"> </w:t>
      </w:r>
      <w:r w:rsidRPr="00B90A24">
        <w:rPr>
          <w:rFonts w:eastAsia="Verdana" w:cs="Verdana"/>
          <w:sz w:val="28"/>
          <w:szCs w:val="28"/>
        </w:rPr>
        <w:t>The arm’s length principle requires that royalties should be tax deductible only up to the arm’s length price</w:t>
      </w:r>
      <w:r w:rsidR="005715EE" w:rsidRPr="00B90A24">
        <w:rPr>
          <w:rFonts w:eastAsia="Verdana" w:cs="Verdana"/>
          <w:sz w:val="28"/>
          <w:szCs w:val="28"/>
        </w:rPr>
        <w:t>. H</w:t>
      </w:r>
      <w:r w:rsidRPr="00B90A24">
        <w:rPr>
          <w:rFonts w:eastAsia="Verdana" w:cs="Verdana"/>
          <w:sz w:val="28"/>
          <w:szCs w:val="28"/>
        </w:rPr>
        <w:t>owever, in many cases this does not limit the scale of profit shifting. This is because no comparable transactions between unrelated parties exist for royalty payments given that these payments are usually related to intangible property which can be argued to be unique</w:t>
      </w:r>
      <w:r w:rsidR="00066779" w:rsidRPr="00B90A24">
        <w:rPr>
          <w:rFonts w:eastAsia="Verdana" w:cs="Verdana"/>
          <w:sz w:val="28"/>
          <w:szCs w:val="28"/>
        </w:rPr>
        <w:t xml:space="preserve"> and thus not comparable</w:t>
      </w:r>
      <w:r w:rsidRPr="00B90A24">
        <w:rPr>
          <w:rFonts w:eastAsia="Verdana" w:cs="Verdana"/>
          <w:sz w:val="28"/>
          <w:szCs w:val="28"/>
        </w:rPr>
        <w:t xml:space="preserve"> </w:t>
      </w:r>
      <w:r w:rsidRPr="00B90A24">
        <w:rPr>
          <w:sz w:val="28"/>
          <w:szCs w:val="28"/>
        </w:rPr>
        <w:fldChar w:fldCharType="begin"/>
      </w:r>
      <w:r w:rsidR="00B133DE" w:rsidRPr="00B90A24">
        <w:rPr>
          <w:sz w:val="28"/>
          <w:szCs w:val="28"/>
        </w:rPr>
        <w:instrText xml:space="preserve"> ADDIN ZOTERO_ITEM CSL_CITATION {"citationID":"VT9X9TeN","properties":{"formattedCitation":"(Centre for European Economic Research, 2013, pp. 4\\uc0\\u8211{}5)","plainCitation":"(Centre for European Economic Research, 2013, pp. 4–5)","noteIndex":0},"citationItems":[{"id":"LppWUde1/Rq9K8Acz","uris":["http://zotero.org/users/3783081/items/523MMJ7Z"],"uri":["http://zotero.org/users/3783081/items/523MMJ7Z"],"itemData":{"id":5979,"type":"report","title":"Intellectual Property Box Regimes: Effective Tax Rates and Tax Policy Considerations","URL":"ftp://ftp.zew.de/pub/zew-docs/dp/dp13070.pdf","number":"Discussion Paper No. 13-070","author":[{"family":"Centre for European Economic Research","given":"ZEW"}],"issued":{"date-parts":[["2013",11]]}},"locator":"4-5"}],"schema":"https://github.com/citation-style-language/schema/raw/master/csl-citation.json"} </w:instrText>
      </w:r>
      <w:r w:rsidRPr="00B90A24">
        <w:rPr>
          <w:sz w:val="28"/>
          <w:szCs w:val="28"/>
        </w:rPr>
        <w:fldChar w:fldCharType="separate"/>
      </w:r>
      <w:r w:rsidR="00B133DE" w:rsidRPr="00B90A24">
        <w:rPr>
          <w:rFonts w:cs="Times New Roman"/>
          <w:sz w:val="28"/>
          <w:szCs w:val="28"/>
        </w:rPr>
        <w:t>(Centre for European Economic Research, 2013, pp. 4–5)</w:t>
      </w:r>
      <w:r w:rsidRPr="00B90A24">
        <w:rPr>
          <w:sz w:val="28"/>
          <w:szCs w:val="28"/>
        </w:rPr>
        <w:fldChar w:fldCharType="end"/>
      </w:r>
      <w:r w:rsidRPr="00B90A24">
        <w:rPr>
          <w:sz w:val="28"/>
          <w:szCs w:val="28"/>
        </w:rPr>
        <w:t xml:space="preserve">. </w:t>
      </w:r>
    </w:p>
    <w:p w14:paraId="1DD6140A" w14:textId="77777777" w:rsidR="00783A4C" w:rsidRPr="00B90A24" w:rsidRDefault="00783A4C" w:rsidP="00B90A24">
      <w:pPr>
        <w:autoSpaceDE w:val="0"/>
        <w:autoSpaceDN w:val="0"/>
        <w:adjustRightInd w:val="0"/>
        <w:spacing w:after="0" w:line="240" w:lineRule="auto"/>
        <w:ind w:left="567" w:right="890"/>
        <w:jc w:val="both"/>
        <w:rPr>
          <w:rFonts w:eastAsia="Verdana" w:cs="Verdana"/>
          <w:sz w:val="28"/>
          <w:szCs w:val="28"/>
        </w:rPr>
      </w:pPr>
    </w:p>
    <w:p w14:paraId="322CED98" w14:textId="383B199E" w:rsidR="004D3EA1" w:rsidRPr="00B90A24" w:rsidRDefault="004D3EA1" w:rsidP="00B90A24">
      <w:pPr>
        <w:autoSpaceDE w:val="0"/>
        <w:autoSpaceDN w:val="0"/>
        <w:adjustRightInd w:val="0"/>
        <w:spacing w:after="0" w:line="240" w:lineRule="auto"/>
        <w:ind w:left="567" w:right="890"/>
        <w:jc w:val="both"/>
        <w:rPr>
          <w:rFonts w:eastAsia="Verdana" w:cs="Verdana"/>
          <w:sz w:val="28"/>
          <w:szCs w:val="28"/>
          <w:lang w:eastAsia="en-GB"/>
        </w:rPr>
      </w:pPr>
      <w:r w:rsidRPr="00B90A24">
        <w:rPr>
          <w:rFonts w:eastAsia="Verdana" w:cs="Verdana"/>
          <w:sz w:val="28"/>
          <w:szCs w:val="28"/>
        </w:rPr>
        <w:t xml:space="preserve">The OECD does not recommend a specific limitation rule for the deduction of outbound intra-group royalty payments. Nevertheless, </w:t>
      </w:r>
      <w:r w:rsidRPr="00B90A24">
        <w:rPr>
          <w:rFonts w:eastAsia="Verdana" w:cs="Verdana"/>
          <w:sz w:val="28"/>
          <w:szCs w:val="28"/>
          <w:lang w:eastAsia="en-GB"/>
        </w:rPr>
        <w:t xml:space="preserve">some countries have already adopted measures to limit the deduction of </w:t>
      </w:r>
      <w:r w:rsidRPr="00B90A24">
        <w:rPr>
          <w:rFonts w:eastAsia="Verdana" w:cs="Verdana"/>
          <w:sz w:val="28"/>
          <w:szCs w:val="28"/>
        </w:rPr>
        <w:t xml:space="preserve">intra-group royalty payments related to intellectual property regimes. For example, in Germany, </w:t>
      </w:r>
      <w:r w:rsidR="00066779" w:rsidRPr="00B90A24">
        <w:rPr>
          <w:rFonts w:eastAsia="Verdana" w:cs="Verdana"/>
          <w:sz w:val="28"/>
          <w:szCs w:val="28"/>
        </w:rPr>
        <w:t>new legislation—</w:t>
      </w:r>
      <w:r w:rsidRPr="00B90A24">
        <w:rPr>
          <w:rFonts w:eastAsia="Verdana" w:cs="Verdana"/>
          <w:sz w:val="28"/>
          <w:szCs w:val="28"/>
        </w:rPr>
        <w:t>Act</w:t>
      </w:r>
      <w:r w:rsidRPr="00B90A24">
        <w:rPr>
          <w:rFonts w:cs="Arial"/>
          <w:sz w:val="28"/>
          <w:szCs w:val="28"/>
          <w:shd w:val="clear" w:color="auto" w:fill="FFFFFF"/>
        </w:rPr>
        <w:t xml:space="preserve"> against Harmful Tax Practices with regard to Licensing of Rights of 2 June 2017</w:t>
      </w:r>
      <w:r w:rsidR="00066779" w:rsidRPr="00B90A24">
        <w:rPr>
          <w:rFonts w:eastAsia="Verdana" w:cs="Verdana"/>
          <w:sz w:val="28"/>
          <w:szCs w:val="28"/>
        </w:rPr>
        <w:t>—</w:t>
      </w:r>
      <w:r w:rsidRPr="00B90A24">
        <w:rPr>
          <w:rFonts w:cs="Arial"/>
          <w:sz w:val="28"/>
          <w:szCs w:val="28"/>
          <w:shd w:val="clear" w:color="auto" w:fill="FFFFFF"/>
        </w:rPr>
        <w:t xml:space="preserve">has resulted in the introduction of a new provision, Sec. 4j of the Income Tax Act </w:t>
      </w:r>
      <w:r w:rsidRPr="00B90A24">
        <w:rPr>
          <w:sz w:val="28"/>
          <w:szCs w:val="28"/>
        </w:rPr>
        <w:fldChar w:fldCharType="begin"/>
      </w:r>
      <w:r w:rsidR="00B133DE" w:rsidRPr="00B90A24">
        <w:rPr>
          <w:sz w:val="28"/>
          <w:szCs w:val="28"/>
        </w:rPr>
        <w:instrText xml:space="preserve"> ADDIN ZOTERO_ITEM CSL_CITATION {"citationID":"H6aYW81j","properties":{"formattedCitation":"(Ditz &amp; Quilitzsch, 2017, p. 823)","plainCitation":"(Ditz &amp; Quilitzsch, 2017, p. 823)","noteIndex":0},"citationItems":[{"id":"LppWUde1/VEaRJGT9","uris":["http://zotero.org/users/3783081/items/KNVHP3W4"],"uri":["http://zotero.org/users/3783081/items/KNVHP3W4"],"itemData":{"id":5973,"type":"article-journal","title":"Countering Harmful Tax Practices in Licensing of Rights: The New License Barrier Rule in Section 4j of the German Income Tax Act","container-title":"Intertax","page":"822-827","volume":"45","issue":"12","ISSN":"0165-2826","journalAbbreviation":"Intertax","author":[{"family":"Ditz","given":"Xaver"},{"family":"Quilitzsch","given":"Carsten"}],"issued":{"date-parts":[["2017"]]}},"locator":"823"}],"schema":"https://github.com/citation-style-language/schema/raw/master/csl-citation.json"} </w:instrText>
      </w:r>
      <w:r w:rsidRPr="00B90A24">
        <w:rPr>
          <w:sz w:val="28"/>
          <w:szCs w:val="28"/>
        </w:rPr>
        <w:fldChar w:fldCharType="separate"/>
      </w:r>
      <w:r w:rsidR="00B133DE" w:rsidRPr="00B90A24">
        <w:rPr>
          <w:rFonts w:cs="Times New Roman"/>
          <w:sz w:val="28"/>
          <w:szCs w:val="28"/>
        </w:rPr>
        <w:t>(Ditz &amp; Quilitzsch, 2017, p. 823)</w:t>
      </w:r>
      <w:r w:rsidRPr="00B90A24">
        <w:rPr>
          <w:sz w:val="28"/>
          <w:szCs w:val="28"/>
        </w:rPr>
        <w:fldChar w:fldCharType="end"/>
      </w:r>
      <w:r w:rsidRPr="00B90A24">
        <w:rPr>
          <w:sz w:val="28"/>
          <w:szCs w:val="28"/>
        </w:rPr>
        <w:t>.</w:t>
      </w:r>
      <w:r w:rsidRPr="00B90A24">
        <w:rPr>
          <w:rFonts w:cs="Arial"/>
          <w:sz w:val="28"/>
          <w:szCs w:val="28"/>
          <w:shd w:val="clear" w:color="auto" w:fill="FFFFFF"/>
        </w:rPr>
        <w:t xml:space="preserve"> </w:t>
      </w:r>
      <w:r w:rsidRPr="00B90A24">
        <w:rPr>
          <w:rFonts w:eastAsia="Verdana" w:cs="Verdana"/>
          <w:sz w:val="28"/>
          <w:szCs w:val="28"/>
          <w:lang w:eastAsia="de-DE" w:bidi="he-IL"/>
        </w:rPr>
        <w:t xml:space="preserve">The provision limits the deductibility of royalty payments </w:t>
      </w:r>
      <w:r w:rsidRPr="00B90A24">
        <w:rPr>
          <w:rFonts w:eastAsia="Verdana" w:cs="Verdana"/>
          <w:sz w:val="28"/>
          <w:szCs w:val="28"/>
        </w:rPr>
        <w:t>at the level of the licensee</w:t>
      </w:r>
      <w:r w:rsidRPr="00B90A24">
        <w:rPr>
          <w:rFonts w:eastAsia="Verdana" w:cs="Verdana"/>
          <w:sz w:val="28"/>
          <w:szCs w:val="28"/>
          <w:lang w:eastAsia="de-DE" w:bidi="he-IL"/>
        </w:rPr>
        <w:t xml:space="preserve"> </w:t>
      </w:r>
      <w:r w:rsidR="006A6B5D" w:rsidRPr="00B90A24">
        <w:rPr>
          <w:rFonts w:eastAsia="Verdana" w:cs="Verdana"/>
          <w:sz w:val="28"/>
          <w:szCs w:val="28"/>
          <w:lang w:eastAsia="de-DE" w:bidi="he-IL"/>
        </w:rPr>
        <w:t xml:space="preserve">only </w:t>
      </w:r>
      <w:r w:rsidR="00066779" w:rsidRPr="00B90A24">
        <w:rPr>
          <w:rFonts w:eastAsia="Verdana" w:cs="Verdana"/>
          <w:sz w:val="28"/>
          <w:szCs w:val="28"/>
          <w:lang w:eastAsia="de-DE" w:bidi="he-IL"/>
        </w:rPr>
        <w:t>in cases where</w:t>
      </w:r>
      <w:r w:rsidR="006A6B5D" w:rsidRPr="00B90A24">
        <w:rPr>
          <w:rFonts w:eastAsia="Verdana" w:cs="Verdana"/>
          <w:sz w:val="28"/>
          <w:szCs w:val="28"/>
          <w:lang w:eastAsia="de-DE" w:bidi="he-IL"/>
        </w:rPr>
        <w:t xml:space="preserve"> </w:t>
      </w:r>
      <w:r w:rsidRPr="00B90A24">
        <w:rPr>
          <w:rFonts w:eastAsia="Verdana" w:cs="Verdana"/>
          <w:sz w:val="28"/>
          <w:szCs w:val="28"/>
          <w:lang w:eastAsia="de-DE" w:bidi="he-IL"/>
        </w:rPr>
        <w:t xml:space="preserve">the corresponding royalty income is </w:t>
      </w:r>
      <w:r w:rsidR="00262017" w:rsidRPr="00B90A24">
        <w:rPr>
          <w:rFonts w:eastAsia="Verdana" w:cs="Verdana"/>
          <w:sz w:val="28"/>
          <w:szCs w:val="28"/>
          <w:lang w:eastAsia="de-DE" w:bidi="he-IL"/>
        </w:rPr>
        <w:t xml:space="preserve">paid </w:t>
      </w:r>
      <w:r w:rsidR="003A0381" w:rsidRPr="00B90A24">
        <w:rPr>
          <w:rFonts w:eastAsia="Verdana" w:cs="Verdana"/>
          <w:sz w:val="28"/>
          <w:szCs w:val="28"/>
          <w:lang w:eastAsia="de-DE" w:bidi="he-IL"/>
        </w:rPr>
        <w:t xml:space="preserve">to a </w:t>
      </w:r>
      <w:r w:rsidRPr="00B90A24">
        <w:rPr>
          <w:rFonts w:eastAsia="Verdana" w:cs="Verdana"/>
          <w:sz w:val="28"/>
          <w:szCs w:val="28"/>
          <w:lang w:eastAsia="de-DE" w:bidi="he-IL"/>
        </w:rPr>
        <w:t xml:space="preserve">preferential regime that is not in line with the </w:t>
      </w:r>
      <w:r w:rsidR="00955DC2" w:rsidRPr="00B90A24">
        <w:rPr>
          <w:rFonts w:eastAsia="Verdana" w:cs="Verdana"/>
          <w:sz w:val="28"/>
          <w:szCs w:val="28"/>
          <w:lang w:eastAsia="de-DE" w:bidi="he-IL"/>
        </w:rPr>
        <w:t xml:space="preserve">OECD </w:t>
      </w:r>
      <w:r w:rsidRPr="00B90A24">
        <w:rPr>
          <w:rFonts w:eastAsia="Verdana" w:cs="Verdana"/>
          <w:sz w:val="28"/>
          <w:szCs w:val="28"/>
          <w:lang w:eastAsia="de-DE" w:bidi="he-IL"/>
        </w:rPr>
        <w:t>nexus approach</w:t>
      </w:r>
      <w:r w:rsidR="00955DC2" w:rsidRPr="00B90A24">
        <w:rPr>
          <w:rFonts w:eastAsia="Verdana" w:cs="Verdana"/>
          <w:sz w:val="28"/>
          <w:szCs w:val="28"/>
          <w:lang w:eastAsia="de-DE" w:bidi="he-IL"/>
        </w:rPr>
        <w:t xml:space="preserve"> </w:t>
      </w:r>
      <w:r w:rsidR="00955DC2" w:rsidRPr="00B90A24">
        <w:rPr>
          <w:rFonts w:eastAsia="Verdana" w:cs="Verdana"/>
          <w:sz w:val="28"/>
          <w:szCs w:val="28"/>
          <w:lang w:eastAsia="en-GB"/>
        </w:rPr>
        <w:fldChar w:fldCharType="begin"/>
      </w:r>
      <w:r w:rsidR="00B133DE" w:rsidRPr="00B90A24">
        <w:rPr>
          <w:rFonts w:eastAsia="Verdana" w:cs="Verdana"/>
          <w:sz w:val="28"/>
          <w:szCs w:val="28"/>
          <w:lang w:eastAsia="en-GB"/>
        </w:rPr>
        <w:instrText xml:space="preserve"> ADDIN ZOTERO_ITEM CSL_CITATION {"citationID":"ZSS0Gtbm","properties":{"formattedCitation":"(Heinemann et al., 2017, p. 40)","plainCitation":"(Heinemann et al., 2017, p. 40)","noteIndex":0},"citationItems":[{"id":"LppWUde1/8JHQPeRy","uris":["http://zotero.org/users/3783081/items/NCQ4BWDP"],"uri":["http://zotero.org/users/3783081/items/NCQ4BWDP"],"itemData":{"id":"AJ2PGIKy/AwitaLwU","type":"book","title":"Analysis of US Corporate Tax Reform Proposals and their Effects for Europe and Germany","publisher":"Zentrum für Europäische Wirtschaftsforschung, Mannheim","source":"Google Scholar","author":[{"family":"Heinemann","given":"Friedrich"},{"family":"Pfeiffer","given":"O."},{"family":"Schwab","given":"T."},{"family":"Spengel","given":"C."},{"family":"Olbert","given":"M."},{"family":"Stutzenberger","given":"K."}],"issued":{"date-parts":[["2017"]]}},"locator":"40"}],"schema":"https://github.com/citation-style-language/schema/raw/master/csl-citation.json"} </w:instrText>
      </w:r>
      <w:r w:rsidR="00955DC2" w:rsidRPr="00B90A24">
        <w:rPr>
          <w:rFonts w:eastAsia="Verdana" w:cs="Verdana"/>
          <w:sz w:val="28"/>
          <w:szCs w:val="28"/>
          <w:lang w:eastAsia="en-GB"/>
        </w:rPr>
        <w:fldChar w:fldCharType="separate"/>
      </w:r>
      <w:r w:rsidR="00B133DE" w:rsidRPr="00B90A24">
        <w:rPr>
          <w:rFonts w:cs="Times New Roman"/>
          <w:sz w:val="28"/>
          <w:szCs w:val="28"/>
        </w:rPr>
        <w:t>(Heinemann et al., 2017, p. 40)</w:t>
      </w:r>
      <w:r w:rsidR="00955DC2" w:rsidRPr="00B90A24">
        <w:rPr>
          <w:rFonts w:eastAsia="Verdana" w:cs="Verdana"/>
          <w:sz w:val="28"/>
          <w:szCs w:val="28"/>
          <w:lang w:eastAsia="en-GB"/>
        </w:rPr>
        <w:fldChar w:fldCharType="end"/>
      </w:r>
      <w:r w:rsidRPr="00B90A24">
        <w:rPr>
          <w:rFonts w:eastAsia="Verdana" w:cs="Verdana"/>
          <w:sz w:val="28"/>
          <w:szCs w:val="28"/>
          <w:lang w:eastAsia="de-DE" w:bidi="he-IL"/>
        </w:rPr>
        <w:t>.</w:t>
      </w:r>
      <w:r w:rsidR="003A0381" w:rsidRPr="00B90A24">
        <w:rPr>
          <w:rFonts w:eastAsia="Verdana" w:cs="Verdana"/>
          <w:sz w:val="28"/>
          <w:szCs w:val="28"/>
          <w:lang w:eastAsia="de-DE" w:bidi="he-IL"/>
        </w:rPr>
        <w:t xml:space="preserve"> All other </w:t>
      </w:r>
      <w:r w:rsidR="00955DC2" w:rsidRPr="00B90A24">
        <w:rPr>
          <w:rFonts w:eastAsia="Verdana" w:cs="Verdana"/>
          <w:sz w:val="28"/>
          <w:szCs w:val="28"/>
          <w:lang w:eastAsia="de-DE" w:bidi="he-IL"/>
        </w:rPr>
        <w:t>license payments remain fully deductible.</w:t>
      </w:r>
    </w:p>
    <w:p w14:paraId="68F152D4" w14:textId="77777777" w:rsidR="00783A4C" w:rsidRPr="00B90A24" w:rsidRDefault="00783A4C" w:rsidP="00B90A24">
      <w:pPr>
        <w:autoSpaceDE w:val="0"/>
        <w:autoSpaceDN w:val="0"/>
        <w:adjustRightInd w:val="0"/>
        <w:spacing w:after="0" w:line="240" w:lineRule="auto"/>
        <w:ind w:left="567" w:right="890"/>
        <w:jc w:val="both"/>
        <w:rPr>
          <w:rFonts w:eastAsia="Verdana" w:cs="Verdana"/>
          <w:sz w:val="28"/>
          <w:szCs w:val="28"/>
          <w:lang w:eastAsia="de-DE" w:bidi="he-IL"/>
        </w:rPr>
      </w:pPr>
    </w:p>
    <w:p w14:paraId="6F922131" w14:textId="4F41245D" w:rsidR="0029215D" w:rsidRPr="00B90A24" w:rsidRDefault="004D3EA1" w:rsidP="00B90A24">
      <w:pPr>
        <w:autoSpaceDE w:val="0"/>
        <w:autoSpaceDN w:val="0"/>
        <w:adjustRightInd w:val="0"/>
        <w:spacing w:after="0" w:line="240" w:lineRule="auto"/>
        <w:ind w:left="567" w:right="890"/>
        <w:jc w:val="both"/>
        <w:rPr>
          <w:rFonts w:cs="Calibri"/>
          <w:color w:val="000000"/>
          <w:sz w:val="28"/>
          <w:szCs w:val="28"/>
          <w:shd w:val="clear" w:color="auto" w:fill="FFFFFF"/>
        </w:rPr>
      </w:pPr>
      <w:r w:rsidRPr="00B90A24">
        <w:rPr>
          <w:rFonts w:eastAsia="Verdana" w:cs="Verdana"/>
          <w:sz w:val="28"/>
          <w:szCs w:val="28"/>
          <w:lang w:eastAsia="de-DE" w:bidi="he-IL"/>
        </w:rPr>
        <w:t xml:space="preserve">Another approach to limit the deduction of </w:t>
      </w:r>
      <w:r w:rsidRPr="00B90A24">
        <w:rPr>
          <w:rFonts w:eastAsia="Verdana" w:cs="Verdana"/>
          <w:color w:val="000000"/>
          <w:sz w:val="28"/>
          <w:szCs w:val="28"/>
          <w:shd w:val="clear" w:color="auto" w:fill="FFFFFF"/>
        </w:rPr>
        <w:t xml:space="preserve">intra-group royalty payments </w:t>
      </w:r>
      <w:r w:rsidR="00066779" w:rsidRPr="00B90A24">
        <w:rPr>
          <w:rFonts w:eastAsia="Verdana" w:cs="Verdana"/>
          <w:color w:val="000000"/>
          <w:sz w:val="28"/>
          <w:szCs w:val="28"/>
          <w:shd w:val="clear" w:color="auto" w:fill="FFFFFF"/>
        </w:rPr>
        <w:t xml:space="preserve">has been </w:t>
      </w:r>
      <w:r w:rsidRPr="00B90A24">
        <w:rPr>
          <w:rFonts w:eastAsia="Verdana" w:cs="Verdana"/>
          <w:color w:val="000000"/>
          <w:sz w:val="28"/>
          <w:szCs w:val="28"/>
          <w:shd w:val="clear" w:color="auto" w:fill="FFFFFF"/>
        </w:rPr>
        <w:t xml:space="preserve">introduced by South Africa. </w:t>
      </w:r>
      <w:r w:rsidR="00271258" w:rsidRPr="00B90A24">
        <w:rPr>
          <w:rFonts w:eastAsia="Verdana" w:cs="Verdana"/>
          <w:color w:val="000000"/>
          <w:sz w:val="28"/>
          <w:szCs w:val="28"/>
          <w:shd w:val="clear" w:color="auto" w:fill="FFFFFF"/>
        </w:rPr>
        <w:t>I</w:t>
      </w:r>
      <w:r w:rsidR="0017754C" w:rsidRPr="00B90A24">
        <w:rPr>
          <w:rFonts w:eastAsia="Verdana" w:cs="Verdana"/>
          <w:color w:val="000000"/>
          <w:sz w:val="28"/>
          <w:szCs w:val="28"/>
          <w:shd w:val="clear" w:color="auto" w:fill="FFFFFF"/>
        </w:rPr>
        <w:t xml:space="preserve">f </w:t>
      </w:r>
      <w:r w:rsidR="002131F8" w:rsidRPr="00B90A24">
        <w:rPr>
          <w:rFonts w:eastAsia="Verdana" w:cs="Verdana"/>
          <w:color w:val="000000"/>
          <w:sz w:val="28"/>
          <w:szCs w:val="28"/>
          <w:shd w:val="clear" w:color="auto" w:fill="FFFFFF"/>
        </w:rPr>
        <w:t xml:space="preserve">the intellectual property was developed </w:t>
      </w:r>
      <w:r w:rsidR="0017754C" w:rsidRPr="00B90A24">
        <w:rPr>
          <w:rFonts w:eastAsia="Verdana" w:cs="Verdana"/>
          <w:color w:val="000000"/>
          <w:sz w:val="28"/>
          <w:szCs w:val="28"/>
          <w:shd w:val="clear" w:color="auto" w:fill="FFFFFF"/>
        </w:rPr>
        <w:t>in South Africa</w:t>
      </w:r>
      <w:r w:rsidR="00271258" w:rsidRPr="00B90A24">
        <w:rPr>
          <w:rFonts w:eastAsia="Verdana" w:cs="Verdana"/>
          <w:color w:val="000000"/>
          <w:sz w:val="28"/>
          <w:szCs w:val="28"/>
          <w:shd w:val="clear" w:color="auto" w:fill="FFFFFF"/>
        </w:rPr>
        <w:t xml:space="preserve">, </w:t>
      </w:r>
      <w:r w:rsidRPr="00B90A24">
        <w:rPr>
          <w:rFonts w:eastAsia="Verdana" w:cs="Verdana"/>
          <w:color w:val="000000"/>
          <w:sz w:val="28"/>
          <w:szCs w:val="28"/>
          <w:shd w:val="clear" w:color="auto" w:fill="FFFFFF"/>
        </w:rPr>
        <w:t xml:space="preserve">intra-group royalty payments </w:t>
      </w:r>
      <w:r w:rsidR="00E80D1D" w:rsidRPr="00B90A24">
        <w:rPr>
          <w:rFonts w:eastAsia="Verdana" w:cs="Verdana"/>
          <w:color w:val="000000"/>
          <w:sz w:val="28"/>
          <w:szCs w:val="28"/>
          <w:shd w:val="clear" w:color="auto" w:fill="FFFFFF"/>
        </w:rPr>
        <w:t xml:space="preserve">are </w:t>
      </w:r>
      <w:r w:rsidR="00CB2E44" w:rsidRPr="00B90A24">
        <w:rPr>
          <w:rFonts w:eastAsia="Verdana" w:cs="Verdana"/>
          <w:color w:val="000000"/>
          <w:sz w:val="28"/>
          <w:szCs w:val="28"/>
          <w:shd w:val="clear" w:color="auto" w:fill="FFFFFF"/>
        </w:rPr>
        <w:t xml:space="preserve">allowed only if </w:t>
      </w:r>
      <w:r w:rsidR="00C654DA" w:rsidRPr="00B90A24">
        <w:rPr>
          <w:rFonts w:eastAsia="Verdana" w:cs="Verdana"/>
          <w:color w:val="000000"/>
          <w:sz w:val="28"/>
          <w:szCs w:val="28"/>
          <w:shd w:val="clear" w:color="auto" w:fill="FFFFFF"/>
        </w:rPr>
        <w:t xml:space="preserve">a withholding tax rate of </w:t>
      </w:r>
      <w:r w:rsidR="00953DA1" w:rsidRPr="00B90A24">
        <w:rPr>
          <w:rFonts w:eastAsia="Verdana" w:cs="Verdana"/>
          <w:color w:val="000000"/>
          <w:sz w:val="28"/>
          <w:szCs w:val="28"/>
          <w:shd w:val="clear" w:color="auto" w:fill="FFFFFF"/>
        </w:rPr>
        <w:t>at least 10</w:t>
      </w:r>
      <w:r w:rsidR="00C654DA" w:rsidRPr="00B90A24">
        <w:rPr>
          <w:rFonts w:eastAsia="Verdana" w:cs="Verdana"/>
          <w:color w:val="000000"/>
          <w:sz w:val="28"/>
          <w:szCs w:val="28"/>
          <w:shd w:val="clear" w:color="auto" w:fill="FFFFFF"/>
        </w:rPr>
        <w:t xml:space="preserve"> per cent </w:t>
      </w:r>
      <w:r w:rsidR="0092350D" w:rsidRPr="00B90A24">
        <w:rPr>
          <w:rFonts w:eastAsia="Verdana" w:cs="Verdana"/>
          <w:color w:val="000000"/>
          <w:sz w:val="28"/>
          <w:szCs w:val="28"/>
          <w:shd w:val="clear" w:color="auto" w:fill="FFFFFF"/>
        </w:rPr>
        <w:t>is applicable. In case of a 10 per cent withholding rate, o</w:t>
      </w:r>
      <w:r w:rsidRPr="00B90A24">
        <w:rPr>
          <w:rFonts w:eastAsia="Verdana" w:cs="Verdana"/>
          <w:color w:val="000000"/>
          <w:sz w:val="28"/>
          <w:szCs w:val="28"/>
          <w:shd w:val="clear" w:color="auto" w:fill="FFFFFF"/>
        </w:rPr>
        <w:t>ne-third of intra-group royalty payments can be deducted</w:t>
      </w:r>
      <w:r w:rsidR="00C23B22" w:rsidRPr="00B90A24">
        <w:rPr>
          <w:rFonts w:eastAsia="Verdana" w:cs="Verdana"/>
          <w:color w:val="000000"/>
          <w:sz w:val="28"/>
          <w:szCs w:val="28"/>
          <w:shd w:val="clear" w:color="auto" w:fill="FFFFFF"/>
        </w:rPr>
        <w:t>,</w:t>
      </w:r>
      <w:r w:rsidRPr="00B90A24">
        <w:rPr>
          <w:rFonts w:eastAsia="Verdana" w:cs="Verdana"/>
          <w:color w:val="000000"/>
          <w:sz w:val="28"/>
          <w:szCs w:val="28"/>
          <w:shd w:val="clear" w:color="auto" w:fill="FFFFFF"/>
        </w:rPr>
        <w:t xml:space="preserve"> while half of the intra-group royalty payments can be deducted when the withholding tax is 15 per cent</w:t>
      </w:r>
      <w:r w:rsidR="00341348" w:rsidRPr="00B90A24">
        <w:rPr>
          <w:rFonts w:eastAsia="Verdana" w:cs="Verdana"/>
          <w:color w:val="000000"/>
          <w:sz w:val="28"/>
          <w:szCs w:val="28"/>
          <w:shd w:val="clear" w:color="auto" w:fill="FFFFFF"/>
        </w:rPr>
        <w:t xml:space="preserve"> </w:t>
      </w:r>
      <w:r w:rsidR="00341348" w:rsidRPr="00B90A24">
        <w:rPr>
          <w:rFonts w:eastAsia="Verdana" w:cs="Verdana"/>
          <w:color w:val="000000"/>
          <w:sz w:val="28"/>
          <w:szCs w:val="28"/>
          <w:shd w:val="clear" w:color="auto" w:fill="FFFFFF"/>
        </w:rPr>
        <w:fldChar w:fldCharType="begin"/>
      </w:r>
      <w:r w:rsidR="00500851" w:rsidRPr="00B90A24">
        <w:rPr>
          <w:rFonts w:eastAsia="Verdana" w:cs="Verdana"/>
          <w:color w:val="000000"/>
          <w:sz w:val="28"/>
          <w:szCs w:val="28"/>
          <w:shd w:val="clear" w:color="auto" w:fill="FFFFFF"/>
        </w:rPr>
        <w:instrText xml:space="preserve"> ADDIN ZOTERO_ITEM CSL_CITATION {"citationID":"83js6eZK","properties":{"formattedCitation":"(Hattingh, 2019)","plainCitation":"(Hattingh, 2019)","noteIndex":0},"citationItems":[{"id":5582,"uris":["http://zotero.org/groups/997303/items/G7ZXKGBQ"],"uri":["http://zotero.org/groups/997303/items/G7ZXKGBQ"],"itemData":{"id":5582,"type":"article","publisher":"IBFD","title":"South Africa - Corporate Taxation, Country Analyses IBFD","URL":"https://research.ibfd.org/#/doc?url=/linkresolver/static/cta_za","author":[{"family":"Hattingh","given":"PJ"}],"accessed":{"date-parts":[["2019",5,27]]},"issued":{"date-parts":[["2019"]]}}}],"schema":"https://github.com/citation-style-language/schema/raw/master/csl-citation.json"} </w:instrText>
      </w:r>
      <w:r w:rsidR="00341348" w:rsidRPr="00B90A24">
        <w:rPr>
          <w:rFonts w:eastAsia="Verdana" w:cs="Verdana"/>
          <w:color w:val="000000"/>
          <w:sz w:val="28"/>
          <w:szCs w:val="28"/>
          <w:shd w:val="clear" w:color="auto" w:fill="FFFFFF"/>
        </w:rPr>
        <w:fldChar w:fldCharType="separate"/>
      </w:r>
      <w:r w:rsidR="00B133DE" w:rsidRPr="00B90A24">
        <w:rPr>
          <w:rFonts w:cs="Times New Roman"/>
          <w:sz w:val="28"/>
          <w:szCs w:val="28"/>
        </w:rPr>
        <w:t>(Hattingh, 2019)</w:t>
      </w:r>
      <w:r w:rsidR="00341348" w:rsidRPr="00B90A24">
        <w:rPr>
          <w:rFonts w:eastAsia="Verdana" w:cs="Verdana"/>
          <w:color w:val="000000"/>
          <w:sz w:val="28"/>
          <w:szCs w:val="28"/>
          <w:shd w:val="clear" w:color="auto" w:fill="FFFFFF"/>
        </w:rPr>
        <w:fldChar w:fldCharType="end"/>
      </w:r>
      <w:r w:rsidRPr="00B90A24">
        <w:rPr>
          <w:rFonts w:eastAsia="Verdana" w:cs="Verdana"/>
          <w:color w:val="000000"/>
          <w:sz w:val="28"/>
          <w:szCs w:val="28"/>
          <w:shd w:val="clear" w:color="auto" w:fill="FFFFFF"/>
        </w:rPr>
        <w:t>.</w:t>
      </w:r>
      <w:r w:rsidRPr="00B90A24">
        <w:rPr>
          <w:rFonts w:cs="Calibri"/>
          <w:color w:val="000000"/>
          <w:sz w:val="28"/>
          <w:szCs w:val="28"/>
          <w:shd w:val="clear" w:color="auto" w:fill="FFFFFF"/>
        </w:rPr>
        <w:t xml:space="preserve"> </w:t>
      </w:r>
      <w:r w:rsidR="00F31BC3" w:rsidRPr="00B90A24">
        <w:rPr>
          <w:rFonts w:cs="Calibri"/>
          <w:color w:val="000000"/>
          <w:sz w:val="28"/>
          <w:szCs w:val="28"/>
          <w:shd w:val="clear" w:color="auto" w:fill="FFFFFF"/>
        </w:rPr>
        <w:t xml:space="preserve">Yet the </w:t>
      </w:r>
      <w:r w:rsidR="001C29EF" w:rsidRPr="00B90A24">
        <w:rPr>
          <w:rFonts w:cs="Calibri"/>
          <w:color w:val="000000"/>
          <w:sz w:val="28"/>
          <w:szCs w:val="28"/>
          <w:shd w:val="clear" w:color="auto" w:fill="FFFFFF"/>
        </w:rPr>
        <w:t xml:space="preserve">condition to </w:t>
      </w:r>
      <w:r w:rsidR="00CA4660" w:rsidRPr="00B90A24">
        <w:rPr>
          <w:rFonts w:cs="Calibri"/>
          <w:color w:val="000000"/>
          <w:sz w:val="28"/>
          <w:szCs w:val="28"/>
          <w:shd w:val="clear" w:color="auto" w:fill="FFFFFF"/>
        </w:rPr>
        <w:t xml:space="preserve">demonstrate that intellectual property was developed in South Africa is </w:t>
      </w:r>
      <w:r w:rsidR="004F7B38" w:rsidRPr="00B90A24">
        <w:rPr>
          <w:rFonts w:cs="Calibri"/>
          <w:color w:val="000000"/>
          <w:sz w:val="28"/>
          <w:szCs w:val="28"/>
          <w:shd w:val="clear" w:color="auto" w:fill="FFFFFF"/>
        </w:rPr>
        <w:t xml:space="preserve">restricting this provision’s applicability to situations </w:t>
      </w:r>
      <w:r w:rsidR="000868C6" w:rsidRPr="00B90A24">
        <w:rPr>
          <w:rFonts w:cs="Calibri"/>
          <w:color w:val="000000"/>
          <w:sz w:val="28"/>
          <w:szCs w:val="28"/>
          <w:shd w:val="clear" w:color="auto" w:fill="FFFFFF"/>
        </w:rPr>
        <w:t xml:space="preserve">where </w:t>
      </w:r>
      <w:r w:rsidR="00066779" w:rsidRPr="00B90A24">
        <w:rPr>
          <w:rFonts w:cs="Calibri"/>
          <w:color w:val="000000"/>
          <w:sz w:val="28"/>
          <w:szCs w:val="28"/>
          <w:shd w:val="clear" w:color="auto" w:fill="FFFFFF"/>
        </w:rPr>
        <w:t xml:space="preserve">the </w:t>
      </w:r>
      <w:r w:rsidR="000868C6" w:rsidRPr="00B90A24">
        <w:rPr>
          <w:rFonts w:cs="Calibri"/>
          <w:color w:val="000000"/>
          <w:sz w:val="28"/>
          <w:szCs w:val="28"/>
          <w:shd w:val="clear" w:color="auto" w:fill="FFFFFF"/>
        </w:rPr>
        <w:t xml:space="preserve">OECD’s </w:t>
      </w:r>
      <w:r w:rsidRPr="00B90A24">
        <w:rPr>
          <w:rFonts w:cs="Calibri"/>
          <w:color w:val="000000"/>
          <w:sz w:val="28"/>
          <w:szCs w:val="28"/>
          <w:shd w:val="clear" w:color="auto" w:fill="FFFFFF"/>
        </w:rPr>
        <w:t xml:space="preserve">nexus </w:t>
      </w:r>
      <w:r w:rsidR="000868C6" w:rsidRPr="00B90A24">
        <w:rPr>
          <w:rFonts w:cs="Calibri"/>
          <w:color w:val="000000"/>
          <w:sz w:val="28"/>
          <w:szCs w:val="28"/>
          <w:shd w:val="clear" w:color="auto" w:fill="FFFFFF"/>
        </w:rPr>
        <w:t xml:space="preserve">requirements are fulfilled in South Africa. </w:t>
      </w:r>
    </w:p>
    <w:p w14:paraId="2C18683D" w14:textId="77777777" w:rsidR="0029215D" w:rsidRPr="00B90A24" w:rsidRDefault="0029215D" w:rsidP="00B90A24">
      <w:pPr>
        <w:autoSpaceDE w:val="0"/>
        <w:autoSpaceDN w:val="0"/>
        <w:adjustRightInd w:val="0"/>
        <w:spacing w:after="0" w:line="240" w:lineRule="auto"/>
        <w:ind w:left="567" w:right="890"/>
        <w:jc w:val="both"/>
        <w:rPr>
          <w:rFonts w:cs="Calibri"/>
          <w:color w:val="000000"/>
          <w:sz w:val="28"/>
          <w:szCs w:val="28"/>
          <w:shd w:val="clear" w:color="auto" w:fill="FFFFFF"/>
        </w:rPr>
      </w:pPr>
    </w:p>
    <w:p w14:paraId="3AE6D1A8" w14:textId="10424C99" w:rsidR="0029215D" w:rsidRPr="00B90A24" w:rsidRDefault="002E50CA" w:rsidP="00B90A24">
      <w:pPr>
        <w:autoSpaceDE w:val="0"/>
        <w:autoSpaceDN w:val="0"/>
        <w:adjustRightInd w:val="0"/>
        <w:spacing w:after="0" w:line="240" w:lineRule="auto"/>
        <w:ind w:left="567" w:right="890"/>
        <w:jc w:val="both"/>
        <w:rPr>
          <w:rFonts w:eastAsia="Verdana" w:cs="Verdana"/>
          <w:sz w:val="28"/>
          <w:szCs w:val="28"/>
          <w:lang w:eastAsia="de-DE" w:bidi="he-IL"/>
        </w:rPr>
      </w:pPr>
      <w:r w:rsidRPr="00B90A24">
        <w:rPr>
          <w:rFonts w:cs="Calibri"/>
          <w:color w:val="000000"/>
          <w:sz w:val="28"/>
          <w:szCs w:val="28"/>
          <w:shd w:val="clear" w:color="auto" w:fill="FFFFFF"/>
        </w:rPr>
        <w:t xml:space="preserve">As these requirements </w:t>
      </w:r>
      <w:r w:rsidR="005E2FDA" w:rsidRPr="00B90A24">
        <w:rPr>
          <w:rFonts w:cs="Calibri"/>
          <w:color w:val="000000"/>
          <w:sz w:val="28"/>
          <w:szCs w:val="28"/>
          <w:shd w:val="clear" w:color="auto" w:fill="FFFFFF"/>
        </w:rPr>
        <w:t xml:space="preserve">cannot </w:t>
      </w:r>
      <w:r w:rsidRPr="00B90A24">
        <w:rPr>
          <w:rFonts w:cs="Calibri"/>
          <w:color w:val="000000"/>
          <w:sz w:val="28"/>
          <w:szCs w:val="28"/>
          <w:shd w:val="clear" w:color="auto" w:fill="FFFFFF"/>
        </w:rPr>
        <w:t xml:space="preserve">be fulfilled simultaneously in more than one jurisdiction for </w:t>
      </w:r>
      <w:r w:rsidR="00D94AA4" w:rsidRPr="00B90A24">
        <w:rPr>
          <w:rFonts w:cs="Calibri"/>
          <w:color w:val="000000"/>
          <w:sz w:val="28"/>
          <w:szCs w:val="28"/>
          <w:shd w:val="clear" w:color="auto" w:fill="FFFFFF"/>
        </w:rPr>
        <w:t xml:space="preserve">one single </w:t>
      </w:r>
      <w:r w:rsidR="0049249D" w:rsidRPr="00B90A24">
        <w:rPr>
          <w:rFonts w:cs="Calibri"/>
          <w:color w:val="000000"/>
          <w:sz w:val="28"/>
          <w:szCs w:val="28"/>
          <w:shd w:val="clear" w:color="auto" w:fill="FFFFFF"/>
        </w:rPr>
        <w:t>intangible asset</w:t>
      </w:r>
      <w:r w:rsidR="005E2FDA" w:rsidRPr="00B90A24">
        <w:rPr>
          <w:rFonts w:cs="Calibri"/>
          <w:color w:val="000000"/>
          <w:sz w:val="28"/>
          <w:szCs w:val="28"/>
          <w:shd w:val="clear" w:color="auto" w:fill="FFFFFF"/>
        </w:rPr>
        <w:t xml:space="preserve"> without </w:t>
      </w:r>
      <w:r w:rsidR="00E13A9C" w:rsidRPr="00B90A24">
        <w:rPr>
          <w:rFonts w:cs="Calibri"/>
          <w:color w:val="000000"/>
          <w:sz w:val="28"/>
          <w:szCs w:val="28"/>
          <w:shd w:val="clear" w:color="auto" w:fill="FFFFFF"/>
        </w:rPr>
        <w:t xml:space="preserve">risking </w:t>
      </w:r>
      <w:r w:rsidR="005E2FDA" w:rsidRPr="00B90A24">
        <w:rPr>
          <w:rFonts w:cs="Calibri"/>
          <w:color w:val="000000"/>
          <w:sz w:val="28"/>
          <w:szCs w:val="28"/>
          <w:shd w:val="clear" w:color="auto" w:fill="FFFFFF"/>
        </w:rPr>
        <w:t xml:space="preserve">a </w:t>
      </w:r>
      <w:r w:rsidR="007E1E1A" w:rsidRPr="00B90A24">
        <w:rPr>
          <w:rFonts w:cs="Calibri"/>
          <w:color w:val="000000"/>
          <w:sz w:val="28"/>
          <w:szCs w:val="28"/>
          <w:shd w:val="clear" w:color="auto" w:fill="FFFFFF"/>
        </w:rPr>
        <w:t xml:space="preserve">dispute </w:t>
      </w:r>
      <w:r w:rsidR="005E2FDA" w:rsidRPr="00B90A24">
        <w:rPr>
          <w:rFonts w:cs="Calibri"/>
          <w:color w:val="000000"/>
          <w:sz w:val="28"/>
          <w:szCs w:val="28"/>
          <w:shd w:val="clear" w:color="auto" w:fill="FFFFFF"/>
        </w:rPr>
        <w:t>over the taxing right</w:t>
      </w:r>
      <w:r w:rsidR="0049249D" w:rsidRPr="00B90A24">
        <w:rPr>
          <w:rFonts w:cs="Calibri"/>
          <w:color w:val="000000"/>
          <w:sz w:val="28"/>
          <w:szCs w:val="28"/>
          <w:shd w:val="clear" w:color="auto" w:fill="FFFFFF"/>
        </w:rPr>
        <w:t xml:space="preserve">, </w:t>
      </w:r>
      <w:r w:rsidR="00D94AA4" w:rsidRPr="00B90A24">
        <w:rPr>
          <w:rFonts w:cs="Calibri"/>
          <w:color w:val="000000"/>
          <w:sz w:val="28"/>
          <w:szCs w:val="28"/>
          <w:shd w:val="clear" w:color="auto" w:fill="FFFFFF"/>
        </w:rPr>
        <w:t xml:space="preserve">the rules </w:t>
      </w:r>
      <w:r w:rsidR="00D508DD" w:rsidRPr="00B90A24">
        <w:rPr>
          <w:rFonts w:cs="Calibri"/>
          <w:color w:val="000000"/>
          <w:sz w:val="28"/>
          <w:szCs w:val="28"/>
          <w:shd w:val="clear" w:color="auto" w:fill="FFFFFF"/>
        </w:rPr>
        <w:t xml:space="preserve">are likely applicable mainly </w:t>
      </w:r>
      <w:r w:rsidR="00D31BBE" w:rsidRPr="00B90A24">
        <w:rPr>
          <w:rFonts w:cs="Calibri"/>
          <w:color w:val="000000"/>
          <w:sz w:val="28"/>
          <w:szCs w:val="28"/>
          <w:shd w:val="clear" w:color="auto" w:fill="FFFFFF"/>
        </w:rPr>
        <w:t xml:space="preserve">to </w:t>
      </w:r>
      <w:r w:rsidR="00D94AA4" w:rsidRPr="00B90A24">
        <w:rPr>
          <w:rFonts w:cs="Calibri"/>
          <w:color w:val="000000"/>
          <w:sz w:val="28"/>
          <w:szCs w:val="28"/>
          <w:shd w:val="clear" w:color="auto" w:fill="FFFFFF"/>
        </w:rPr>
        <w:t xml:space="preserve">payments made to </w:t>
      </w:r>
      <w:r w:rsidR="00547086" w:rsidRPr="00B90A24">
        <w:rPr>
          <w:rFonts w:cs="Calibri"/>
          <w:color w:val="000000"/>
          <w:sz w:val="28"/>
          <w:szCs w:val="28"/>
          <w:shd w:val="clear" w:color="auto" w:fill="FFFFFF"/>
        </w:rPr>
        <w:t xml:space="preserve">patent boxes </w:t>
      </w:r>
      <w:r w:rsidR="00FF0F3C" w:rsidRPr="00B90A24">
        <w:rPr>
          <w:rFonts w:cs="Calibri"/>
          <w:color w:val="000000"/>
          <w:sz w:val="28"/>
          <w:szCs w:val="28"/>
          <w:shd w:val="clear" w:color="auto" w:fill="FFFFFF"/>
        </w:rPr>
        <w:t>which are not compliant with OECD nexus requirements</w:t>
      </w:r>
      <w:r w:rsidR="008A6EC7" w:rsidRPr="00B90A24">
        <w:rPr>
          <w:rFonts w:cs="Calibri"/>
          <w:color w:val="000000"/>
          <w:sz w:val="28"/>
          <w:szCs w:val="28"/>
          <w:shd w:val="clear" w:color="auto" w:fill="FFFFFF"/>
        </w:rPr>
        <w:t>.</w:t>
      </w:r>
      <w:r w:rsidR="0029215D" w:rsidRPr="00B90A24">
        <w:rPr>
          <w:rFonts w:eastAsia="Verdana" w:cs="Verdana"/>
          <w:sz w:val="28"/>
          <w:szCs w:val="28"/>
          <w:lang w:eastAsia="de-DE" w:bidi="he-IL"/>
        </w:rPr>
        <w:t xml:space="preserve"> </w:t>
      </w:r>
      <w:r w:rsidR="004D3EA1" w:rsidRPr="00B90A24">
        <w:rPr>
          <w:rFonts w:eastAsia="Verdana" w:cs="Verdana"/>
          <w:sz w:val="28"/>
          <w:szCs w:val="28"/>
          <w:lang w:eastAsia="de-DE" w:bidi="he-IL"/>
        </w:rPr>
        <w:t xml:space="preserve">Several countries have gone further and introduced rules that limit the deductibility of intra-group royalty payments regardless of whether the intellectual property regime complies with the nexus approach. </w:t>
      </w:r>
    </w:p>
    <w:p w14:paraId="570CC551" w14:textId="77777777" w:rsidR="0029215D" w:rsidRPr="00B90A24" w:rsidRDefault="0029215D" w:rsidP="00B90A24">
      <w:pPr>
        <w:autoSpaceDE w:val="0"/>
        <w:autoSpaceDN w:val="0"/>
        <w:adjustRightInd w:val="0"/>
        <w:spacing w:after="0" w:line="240" w:lineRule="auto"/>
        <w:ind w:left="567" w:right="890"/>
        <w:jc w:val="both"/>
        <w:rPr>
          <w:rFonts w:eastAsia="Verdana" w:cs="Verdana"/>
          <w:sz w:val="28"/>
          <w:szCs w:val="28"/>
          <w:lang w:eastAsia="de-DE" w:bidi="he-IL"/>
        </w:rPr>
      </w:pPr>
    </w:p>
    <w:p w14:paraId="26384F54" w14:textId="5ADB5C72" w:rsidR="004D3EA1" w:rsidRPr="00B90A24" w:rsidRDefault="004D3EA1" w:rsidP="00B90A24">
      <w:pPr>
        <w:autoSpaceDE w:val="0"/>
        <w:autoSpaceDN w:val="0"/>
        <w:adjustRightInd w:val="0"/>
        <w:spacing w:after="0" w:line="240" w:lineRule="auto"/>
        <w:ind w:left="567" w:right="890"/>
        <w:jc w:val="both"/>
        <w:rPr>
          <w:rFonts w:eastAsia="Verdana" w:cs="Verdana"/>
          <w:sz w:val="28"/>
          <w:szCs w:val="28"/>
        </w:rPr>
      </w:pPr>
      <w:r w:rsidRPr="00B90A24">
        <w:rPr>
          <w:rFonts w:eastAsia="Verdana" w:cs="Verdana"/>
          <w:sz w:val="28"/>
          <w:szCs w:val="28"/>
          <w:lang w:eastAsia="de-DE" w:bidi="he-IL"/>
        </w:rPr>
        <w:t xml:space="preserve">For example, </w:t>
      </w:r>
      <w:r w:rsidRPr="00B90A24">
        <w:rPr>
          <w:rFonts w:eastAsia="Verdana" w:cs="Verdana"/>
          <w:sz w:val="28"/>
          <w:szCs w:val="28"/>
        </w:rPr>
        <w:t>Ecuador limits intra-group royalty payment deductions up to 20 per cent of the taxable base and up to 10 per cent of the asset value in cases where the company is in a pre-operational stage provided there is a taxable income</w:t>
      </w:r>
      <w:r w:rsidR="00341348" w:rsidRPr="00B90A24">
        <w:rPr>
          <w:rFonts w:eastAsia="Verdana" w:cs="Verdana"/>
          <w:sz w:val="28"/>
          <w:szCs w:val="28"/>
        </w:rPr>
        <w:t xml:space="preserve"> </w:t>
      </w:r>
      <w:r w:rsidR="00341348"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{"citationID":"i7G71rh7","properties":{"formattedCitation":"(Guerra, 2019)","plainCitation":"(Guerra, 2019)","noteIndex":0},"citationItems":[{"id":5585,"uris":["http://zotero.org/groups/997303/items/JEZ3MHPZ"],"uri":["http://zotero.org/groups/997303/items/JEZ3MHPZ"],"itemData":{"id":5585,"type":"article","publisher":"IBFD","title":"Ecuador - Corporate Taxation, Country Surveys IBFD","URL":"https://research.ibfd.org/#/doc?url=/linkresolver/static/gtha_ec","author":[{"family":"Guerra","given":"G"}],"accessed":{"date-parts":[["2019",5,27]]},"issued":{"date-parts":[["2019"]]}}}],"schema":"https://github.com/citation-style-language/schema/raw/master/csl-citation.json"} </w:instrText>
      </w:r>
      <w:r w:rsidR="00341348" w:rsidRPr="00B90A24">
        <w:rPr>
          <w:rFonts w:eastAsia="Verdana" w:cs="Verdana"/>
          <w:sz w:val="28"/>
          <w:szCs w:val="28"/>
        </w:rPr>
        <w:fldChar w:fldCharType="separate"/>
      </w:r>
      <w:r w:rsidR="00B133DE" w:rsidRPr="00B90A24">
        <w:rPr>
          <w:rFonts w:cs="Times New Roman"/>
          <w:sz w:val="28"/>
          <w:szCs w:val="28"/>
        </w:rPr>
        <w:t>(Guerra, 2019)</w:t>
      </w:r>
      <w:r w:rsidR="00341348" w:rsidRPr="00B90A24">
        <w:rPr>
          <w:rFonts w:eastAsia="Verdana" w:cs="Verdana"/>
          <w:sz w:val="28"/>
          <w:szCs w:val="28"/>
        </w:rPr>
        <w:fldChar w:fldCharType="end"/>
      </w:r>
      <w:r w:rsidRPr="00B90A24">
        <w:rPr>
          <w:rFonts w:eastAsia="Verdana" w:cs="Verdana"/>
          <w:sz w:val="28"/>
          <w:szCs w:val="28"/>
        </w:rPr>
        <w:t>.</w:t>
      </w:r>
      <w:r w:rsidR="0029215D" w:rsidRPr="00B90A24">
        <w:rPr>
          <w:rFonts w:eastAsia="Verdana" w:cs="Verdana"/>
          <w:sz w:val="28"/>
          <w:szCs w:val="28"/>
        </w:rPr>
        <w:t xml:space="preserve"> </w:t>
      </w:r>
      <w:r w:rsidRPr="00B90A24">
        <w:rPr>
          <w:rFonts w:eastAsia="Verdana" w:cs="Verdana"/>
          <w:sz w:val="28"/>
          <w:szCs w:val="28"/>
        </w:rPr>
        <w:t>In Rwanda, a new provision, which came into force in April 2018, limits the deduction of royalties paid by local companies to their related non-resident companies to two per cent of their turnover</w:t>
      </w:r>
      <w:r w:rsidR="00341348" w:rsidRPr="00B90A24">
        <w:rPr>
          <w:rFonts w:eastAsia="Verdana" w:cs="Verdana"/>
          <w:sz w:val="28"/>
          <w:szCs w:val="28"/>
        </w:rPr>
        <w:t xml:space="preserve"> </w:t>
      </w:r>
      <w:r w:rsidR="00341348" w:rsidRPr="00B90A24">
        <w:rPr>
          <w:rFonts w:eastAsia="Verdana" w:cs="Verdana"/>
          <w:sz w:val="28"/>
          <w:szCs w:val="28"/>
        </w:rPr>
        <w:fldChar w:fldCharType="begin"/>
      </w:r>
      <w:r w:rsidR="00500851" w:rsidRPr="00B90A24">
        <w:rPr>
          <w:rFonts w:eastAsia="Verdana" w:cs="Verdana"/>
          <w:sz w:val="28"/>
          <w:szCs w:val="28"/>
        </w:rPr>
        <w:instrText xml:space="preserve"> ADDIN ZOTERO_ITEM CSL_CITATION {"citationID":"aFdy2Jd6","properties":{"formattedCitation":"(Law No 016/2018 of 13/04/2018 Establishing Taxes on Income, 2018, sec. 26(9); Niwenshuti, 2019)","plainCitation":"(Law No 016/2018 of 13/04/2018 Establishing Taxes on Income, 2018, sec. 26(9); Niwenshuti, 2019)","noteIndex":0},"citationItems":[{"id":5885,"uris":["http://zotero.org/groups/997303/items/RDG6FLFK"],"uri":["http://zotero.org/groups/997303/items/RDG6FLFK"],"itemData":{"id":5885,"type":"legislation","number":"016/2018","title":"Law No 016/2018 of 13/04/2018 Establishing Taxes on Income","URL":"https://www.rra.gov.rw/fileadmin/user_upload/law_no_0162018.pdf","author":[{"family":"Government of Rwanda","given":""}],"accessed":{"date-parts":[["2020",6,10]]},"issued":{"date-parts":[["2018",4,13]]}},"locator":"26(9)","label":"section"},{"id":5586,"uris":["http://zotero.org/groups/997303/items/XEPXQCPP"],"uri":["http://zotero.org/groups/997303/items/XEPXQCPP"],"itemData":{"id":5586,"type":"article","publisher":"IBFD","title":"Rwanda - Corporate Taxation, Country Surveys IBFD","URL":"https://research.ibfd.org/#/doc?url=/linkresolver/static/gtha_rw","author":[{"family":"Niwenshuti","given":"R"}],"accessed":{"date-parts":[["2019",5,27]]},"issued":{"date-parts":[["2019"]]}}}],"schema":"https://github.com/citation-style-language/schema/raw/master/csl-citation.json"} </w:instrText>
      </w:r>
      <w:r w:rsidR="00341348" w:rsidRPr="00B90A24">
        <w:rPr>
          <w:rFonts w:eastAsia="Verdana" w:cs="Verdana"/>
          <w:sz w:val="28"/>
          <w:szCs w:val="28"/>
        </w:rPr>
        <w:fldChar w:fldCharType="separate"/>
      </w:r>
      <w:r w:rsidR="00B133DE" w:rsidRPr="00B90A24">
        <w:rPr>
          <w:rFonts w:cs="Times New Roman"/>
          <w:sz w:val="28"/>
          <w:szCs w:val="28"/>
        </w:rPr>
        <w:t>(Law No 016/2018 of 13/04/2018 Establishing Taxes on Income, 2018, sec. 26(9); Niwenshuti, 2019)</w:t>
      </w:r>
      <w:r w:rsidR="00341348" w:rsidRPr="00B90A24">
        <w:rPr>
          <w:rFonts w:eastAsia="Verdana" w:cs="Verdana"/>
          <w:sz w:val="28"/>
          <w:szCs w:val="28"/>
        </w:rPr>
        <w:fldChar w:fldCharType="end"/>
      </w:r>
      <w:r w:rsidRPr="00B90A24">
        <w:rPr>
          <w:rFonts w:eastAsia="Verdana" w:cs="Verdana"/>
          <w:sz w:val="28"/>
          <w:szCs w:val="28"/>
        </w:rPr>
        <w:t>.</w:t>
      </w:r>
      <w:r w:rsidR="00341348" w:rsidRPr="00B90A24">
        <w:rPr>
          <w:rFonts w:eastAsia="Verdana" w:cs="Verdana"/>
          <w:sz w:val="28"/>
          <w:szCs w:val="28"/>
        </w:rPr>
        <w:t xml:space="preserve"> </w:t>
      </w:r>
      <w:r w:rsidR="00DC567F" w:rsidRPr="00B90A24">
        <w:rPr>
          <w:rFonts w:eastAsia="Verdana" w:cs="Verdana"/>
          <w:sz w:val="28"/>
          <w:szCs w:val="28"/>
        </w:rPr>
        <w:t xml:space="preserve">Tanzania also </w:t>
      </w:r>
      <w:r w:rsidR="00146B7B" w:rsidRPr="00B90A24">
        <w:rPr>
          <w:rFonts w:eastAsia="Verdana" w:cs="Verdana"/>
          <w:sz w:val="28"/>
          <w:szCs w:val="28"/>
        </w:rPr>
        <w:t xml:space="preserve">disallows </w:t>
      </w:r>
      <w:r w:rsidR="006B5C4D" w:rsidRPr="00B90A24">
        <w:rPr>
          <w:rFonts w:eastAsia="Verdana" w:cs="Verdana"/>
          <w:sz w:val="28"/>
          <w:szCs w:val="28"/>
        </w:rPr>
        <w:t xml:space="preserve">any </w:t>
      </w:r>
      <w:r w:rsidR="00DC567F" w:rsidRPr="00B90A24">
        <w:rPr>
          <w:rFonts w:eastAsia="Verdana" w:cs="Verdana"/>
          <w:sz w:val="28"/>
          <w:szCs w:val="28"/>
        </w:rPr>
        <w:t xml:space="preserve">deductions for royalty payments </w:t>
      </w:r>
      <w:r w:rsidR="006B5C4D" w:rsidRPr="00B90A24">
        <w:rPr>
          <w:rFonts w:eastAsia="Verdana" w:cs="Verdana"/>
          <w:sz w:val="28"/>
          <w:szCs w:val="28"/>
        </w:rPr>
        <w:t>for the purpose of calculating the taxable income of a company conducting extractive activities</w:t>
      </w:r>
      <w:r w:rsidR="00E73F68" w:rsidRPr="00B90A24">
        <w:rPr>
          <w:rFonts w:eastAsia="Verdana" w:cs="Verdana"/>
          <w:sz w:val="28"/>
          <w:szCs w:val="28"/>
        </w:rPr>
        <w:t xml:space="preserve"> </w:t>
      </w:r>
      <w:r w:rsidR="00E73F68" w:rsidRPr="00B90A24">
        <w:rPr>
          <w:rFonts w:eastAsia="Verdana" w:cs="Verdana"/>
          <w:sz w:val="28"/>
          <w:szCs w:val="28"/>
        </w:rPr>
        <w:fldChar w:fldCharType="begin"/>
      </w:r>
      <w:r w:rsidR="00A06D6C" w:rsidRPr="00B90A24">
        <w:rPr>
          <w:rFonts w:eastAsia="Verdana" w:cs="Verdana"/>
          <w:sz w:val="28"/>
          <w:szCs w:val="28"/>
        </w:rPr>
        <w:instrText xml:space="preserve"> ADDIN ZOTERO_ITEM CSL_CITATION {"citationID":"ald9snnb3r","properties":{"formattedCitation":"(Logunov, 2018)","plainCitation":"(Logunov, 2018)","noteIndex":0},"citationItems":[{"id":5924,"uris":["http://zotero.org/groups/997303/items/B88D4T6Y"],"uri":["http://zotero.org/groups/997303/items/B88D4T6Y"],"itemData":{"id":5924,"type":"report","publisher":"International Bureau of Fiscal Documentation","title":"Tanzania - Corporate Taxation, Country Surveys","URL":"https://online.ibfd.org/document/gtha_tz","author":[{"family":"Logunov","given":"D"}],"accessed":{"date-parts":[["2019",3,14]]},"issued":{"date-parts":[["2018"]]}}}],"schema":"https://github.com/citation-style-language/schema/raw/master/csl-citation.json"} </w:instrText>
      </w:r>
      <w:r w:rsidR="00E73F68" w:rsidRPr="00B90A24">
        <w:rPr>
          <w:rFonts w:eastAsia="Verdana" w:cs="Verdana"/>
          <w:sz w:val="28"/>
          <w:szCs w:val="28"/>
        </w:rPr>
        <w:fldChar w:fldCharType="separate"/>
      </w:r>
      <w:r w:rsidR="00B133DE" w:rsidRPr="00B90A24">
        <w:rPr>
          <w:rFonts w:cs="Times New Roman"/>
          <w:sz w:val="28"/>
          <w:szCs w:val="28"/>
        </w:rPr>
        <w:t>(Logunov, 2018)</w:t>
      </w:r>
      <w:r w:rsidR="00E73F68" w:rsidRPr="00B90A24">
        <w:rPr>
          <w:rFonts w:eastAsia="Verdana" w:cs="Verdana"/>
          <w:sz w:val="28"/>
          <w:szCs w:val="28"/>
        </w:rPr>
        <w:fldChar w:fldCharType="end"/>
      </w:r>
      <w:r w:rsidR="00E73F68" w:rsidRPr="00B90A24">
        <w:rPr>
          <w:rFonts w:eastAsia="Verdana" w:cs="Verdana"/>
          <w:sz w:val="28"/>
          <w:szCs w:val="28"/>
        </w:rPr>
        <w:t>.</w:t>
      </w:r>
      <w:r w:rsidRPr="00B90A24">
        <w:rPr>
          <w:rFonts w:eastAsia="Verdana" w:cs="Verdana"/>
          <w:sz w:val="28"/>
          <w:szCs w:val="28"/>
        </w:rPr>
        <w:t xml:space="preserve">The United States has also recently introduced an alternative way to limit intra-group royalty payments regardless of the nexus approach. The Tax Cuts and Jobs Act of 2017 introduced the base erosion and anti-abuse tax </w:t>
      </w:r>
      <w:r w:rsidRPr="00B90A24">
        <w:rPr>
          <w:rFonts w:eastAsia="Verdana" w:cs="Verdana"/>
          <w:color w:val="000000"/>
          <w:sz w:val="28"/>
          <w:szCs w:val="28"/>
          <w:lang w:eastAsia="en-GB"/>
        </w:rPr>
        <w:t xml:space="preserve">in order to disallow excessive deductible payments </w:t>
      </w:r>
      <w:r w:rsidRPr="00B90A24">
        <w:rPr>
          <w:rFonts w:eastAsia="Verdana" w:cs="Verdana"/>
          <w:color w:val="000000"/>
          <w:sz w:val="28"/>
          <w:szCs w:val="28"/>
          <w:lang w:val="en-US" w:eastAsia="en-GB"/>
        </w:rPr>
        <w:t>(including interest, royalties and management fees)</w:t>
      </w:r>
      <w:r w:rsidRPr="00B90A24">
        <w:rPr>
          <w:rFonts w:eastAsia="Verdana" w:cs="Verdana"/>
          <w:color w:val="000000"/>
          <w:sz w:val="28"/>
          <w:szCs w:val="28"/>
          <w:lang w:eastAsia="en-GB"/>
        </w:rPr>
        <w:t xml:space="preserve"> made by certain US firms to related non-US firms</w:t>
      </w:r>
      <w:r w:rsidR="00341348" w:rsidRPr="00B90A24">
        <w:rPr>
          <w:rFonts w:eastAsia="Verdana" w:cs="Verdana"/>
          <w:color w:val="000000"/>
          <w:sz w:val="28"/>
          <w:szCs w:val="28"/>
          <w:lang w:eastAsia="en-GB"/>
        </w:rPr>
        <w:t xml:space="preserve"> </w:t>
      </w:r>
      <w:r w:rsidR="00341348" w:rsidRPr="00B90A24">
        <w:rPr>
          <w:rFonts w:eastAsia="Verdana" w:cs="Verdana"/>
          <w:color w:val="000000"/>
          <w:sz w:val="28"/>
          <w:szCs w:val="28"/>
          <w:lang w:eastAsia="en-GB"/>
        </w:rPr>
        <w:fldChar w:fldCharType="begin"/>
      </w:r>
      <w:r w:rsidR="00500851" w:rsidRPr="00B90A24">
        <w:rPr>
          <w:rFonts w:eastAsia="Verdana" w:cs="Verdana"/>
          <w:color w:val="000000"/>
          <w:sz w:val="28"/>
          <w:szCs w:val="28"/>
          <w:lang w:eastAsia="en-GB"/>
        </w:rPr>
        <w:instrText xml:space="preserve"> ADDIN ZOTERO_ITEM CSL_CITATION {"citationID":"tZP9mmn0","properties":{"formattedCitation":"(Morse, 2018)","plainCitation":"(Morse, 2018)","noteIndex":0},"citationItems":[{"id":3989,"uris":["http://zotero.org/groups/997303/items/FPTTP4QQ"],"uri":["http://zotero.org/groups/997303/items/FPTTP4QQ"],"itemData":{"id":3989,"type":"article-journal","container-title":"The Yale Law Journal Forum","title":"International Cooperation and the 2017 Tax Act","URL":"https://www.yalelawjournal.org/pdf/Morse_ac1hex9k.pdf","author":[{"family":"Morse","given":"Susan C."}],"accessed":{"date-parts":[["2019",5,13]]},"issued":{"date-parts":[["2018",10,25]]}}}],"schema":"https://github.com/citation-style-language/schema/raw/master/csl-citation.json"} </w:instrText>
      </w:r>
      <w:r w:rsidR="00341348" w:rsidRPr="00B90A24">
        <w:rPr>
          <w:rFonts w:eastAsia="Verdana" w:cs="Verdana"/>
          <w:color w:val="000000"/>
          <w:sz w:val="28"/>
          <w:szCs w:val="28"/>
          <w:lang w:eastAsia="en-GB"/>
        </w:rPr>
        <w:fldChar w:fldCharType="separate"/>
      </w:r>
      <w:r w:rsidR="00B133DE" w:rsidRPr="00B90A24">
        <w:rPr>
          <w:rFonts w:cs="Times New Roman"/>
          <w:sz w:val="28"/>
          <w:szCs w:val="28"/>
        </w:rPr>
        <w:t>(Morse, 2018)</w:t>
      </w:r>
      <w:r w:rsidR="00341348" w:rsidRPr="00B90A24">
        <w:rPr>
          <w:rFonts w:eastAsia="Verdana" w:cs="Verdana"/>
          <w:color w:val="000000"/>
          <w:sz w:val="28"/>
          <w:szCs w:val="28"/>
          <w:lang w:eastAsia="en-GB"/>
        </w:rPr>
        <w:fldChar w:fldCharType="end"/>
      </w:r>
      <w:r w:rsidRPr="00B90A24">
        <w:rPr>
          <w:rFonts w:eastAsia="Verdana" w:cs="Verdana"/>
          <w:color w:val="000000"/>
          <w:sz w:val="28"/>
          <w:szCs w:val="28"/>
          <w:lang w:eastAsia="en-GB"/>
        </w:rPr>
        <w:t xml:space="preserve">. </w:t>
      </w:r>
      <w:r w:rsidRPr="00B90A24">
        <w:rPr>
          <w:rFonts w:eastAsia="Verdana" w:cs="Verdana"/>
          <w:color w:val="000000"/>
          <w:sz w:val="28"/>
          <w:szCs w:val="28"/>
          <w:lang w:val="en-US" w:eastAsia="en-GB"/>
        </w:rPr>
        <w:t xml:space="preserve">The </w:t>
      </w:r>
      <w:r w:rsidRPr="00B90A24">
        <w:rPr>
          <w:rFonts w:eastAsia="Verdana" w:cs="Verdana"/>
          <w:sz w:val="28"/>
          <w:szCs w:val="28"/>
        </w:rPr>
        <w:t xml:space="preserve">base erosion and anti-abuse tax </w:t>
      </w:r>
      <w:r w:rsidRPr="00B90A24">
        <w:rPr>
          <w:rFonts w:eastAsia="Verdana" w:cs="Verdana"/>
          <w:color w:val="000000"/>
          <w:sz w:val="28"/>
          <w:szCs w:val="28"/>
          <w:lang w:val="en-US" w:eastAsia="en-GB"/>
        </w:rPr>
        <w:t>is a minimum tax that is imposed at a rate of 10 per cent</w:t>
      </w:r>
      <w:r w:rsidRPr="00B90A24">
        <w:rPr>
          <w:rStyle w:val="FootnoteReference"/>
          <w:sz w:val="28"/>
          <w:szCs w:val="28"/>
        </w:rPr>
        <w:footnoteReference w:id="17"/>
      </w:r>
      <w:r w:rsidRPr="00B90A24">
        <w:rPr>
          <w:rFonts w:eastAsia="Verdana" w:cs="Verdana"/>
          <w:color w:val="000000"/>
          <w:sz w:val="28"/>
          <w:szCs w:val="28"/>
          <w:lang w:val="en-US" w:eastAsia="en-GB"/>
        </w:rPr>
        <w:t xml:space="preserve"> on </w:t>
      </w:r>
      <w:r w:rsidR="00F7067B" w:rsidRPr="00B90A24">
        <w:rPr>
          <w:rFonts w:eastAsia="Verdana" w:cs="Verdana"/>
          <w:color w:val="000000"/>
          <w:sz w:val="28"/>
          <w:szCs w:val="28"/>
          <w:lang w:val="en-US" w:eastAsia="en-GB"/>
        </w:rPr>
        <w:t>certain</w:t>
      </w:r>
      <w:r w:rsidRPr="00B90A24">
        <w:rPr>
          <w:rFonts w:eastAsia="Verdana" w:cs="Verdana"/>
          <w:color w:val="000000"/>
          <w:sz w:val="28"/>
          <w:szCs w:val="28"/>
          <w:lang w:val="en-US" w:eastAsia="en-GB"/>
        </w:rPr>
        <w:t xml:space="preserve"> taxpayer’s modified taxable income</w:t>
      </w:r>
      <w:r w:rsidR="00341348" w:rsidRPr="00B90A24">
        <w:rPr>
          <w:rFonts w:eastAsia="Verdana" w:cs="Verdana"/>
          <w:color w:val="000000"/>
          <w:sz w:val="28"/>
          <w:szCs w:val="28"/>
          <w:lang w:val="en-US" w:eastAsia="en-GB"/>
        </w:rPr>
        <w:t xml:space="preserve"> </w:t>
      </w:r>
      <w:r w:rsidRPr="00B90A24">
        <w:rPr>
          <w:sz w:val="28"/>
          <w:szCs w:val="28"/>
        </w:rPr>
        <w:fldChar w:fldCharType="begin"/>
      </w:r>
      <w:r w:rsidR="00B133DE" w:rsidRPr="00B90A24">
        <w:rPr>
          <w:sz w:val="28"/>
          <w:szCs w:val="28"/>
        </w:rPr>
        <w:instrText xml:space="preserve"> ADDIN ZOTERO_ITEM CSL_CITATION {"citationID":"fnBuXHip","properties":{"formattedCitation":"(Baker Mckenzie, 2018, pp. 17\\uc0\\u8211{}18)","plainCitation":"(Baker Mckenzie, 2018, pp. 17–18)","noteIndex":0},"citationItems":[{"id":"LppWUde1/l5Tia9TI","uris":["http://zotero.org/users/3783081/items/ZQ4CBQ4R"],"uri":["http://zotero.org/users/3783081/items/ZQ4CBQ4R"],"itemData":{"id":5982,"type":"webpage","title":"Tax News and Developments- North America Tax Practice Group","container-title":"Volume XVIII, Issue 1","URL":"https://www.bakermckenzie.com/-/media/files/insight/publications/2018/02/nl_na_taxnewsdevelopmentv2_feb2018.pdf?la=en","author":[{"family":"Baker Mckenzie","given":""}],"issued":{"date-parts":[["2018",2]]},"accessed":{"date-parts":[["2018",11,25]]}},"locator":"17-18"}],"schema":"https://github.com/citation-style-language/schema/raw/master/csl-citation.json"} </w:instrText>
      </w:r>
      <w:r w:rsidRPr="00B90A24">
        <w:rPr>
          <w:sz w:val="28"/>
          <w:szCs w:val="28"/>
        </w:rPr>
        <w:fldChar w:fldCharType="separate"/>
      </w:r>
      <w:r w:rsidR="00B133DE" w:rsidRPr="00B90A24">
        <w:rPr>
          <w:rFonts w:cs="Times New Roman"/>
          <w:sz w:val="28"/>
          <w:szCs w:val="28"/>
        </w:rPr>
        <w:t>(Baker Mckenzie, 2018, pp. 17–18)</w:t>
      </w:r>
      <w:r w:rsidRPr="00B90A24">
        <w:rPr>
          <w:sz w:val="28"/>
          <w:szCs w:val="28"/>
        </w:rPr>
        <w:fldChar w:fldCharType="end"/>
      </w:r>
      <w:r w:rsidRPr="00B90A24">
        <w:rPr>
          <w:rFonts w:eastAsia="Verdana" w:cs="Verdana"/>
          <w:color w:val="000000"/>
          <w:sz w:val="28"/>
          <w:szCs w:val="28"/>
          <w:lang w:val="en-US" w:eastAsia="en-GB"/>
        </w:rPr>
        <w:t>,</w:t>
      </w:r>
      <w:r w:rsidRPr="00B90A24">
        <w:rPr>
          <w:rFonts w:eastAsia="Verdana" w:cs="Verdana"/>
          <w:color w:val="000000"/>
          <w:sz w:val="28"/>
          <w:szCs w:val="28"/>
          <w:lang w:eastAsia="en-GB"/>
        </w:rPr>
        <w:t xml:space="preserve"> </w:t>
      </w:r>
      <w:r w:rsidRPr="00B90A24">
        <w:rPr>
          <w:rFonts w:eastAsia="Verdana" w:cs="Verdana"/>
          <w:color w:val="000000"/>
          <w:sz w:val="28"/>
          <w:szCs w:val="28"/>
          <w:lang w:val="en-US" w:eastAsia="en-GB"/>
        </w:rPr>
        <w:t>calculated by adding back most categories of related-party deductible payments</w:t>
      </w:r>
      <w:r w:rsidR="00341348" w:rsidRPr="00B90A24">
        <w:rPr>
          <w:rFonts w:eastAsia="Verdana" w:cs="Verdana"/>
          <w:color w:val="000000"/>
          <w:sz w:val="28"/>
          <w:szCs w:val="28"/>
          <w:lang w:val="en-US" w:eastAsia="en-GB"/>
        </w:rPr>
        <w:t xml:space="preserve"> </w:t>
      </w:r>
      <w:r w:rsidRPr="00B90A24">
        <w:rPr>
          <w:sz w:val="28"/>
          <w:szCs w:val="28"/>
        </w:rPr>
        <w:fldChar w:fldCharType="begin"/>
      </w:r>
      <w:r w:rsidR="00500851" w:rsidRPr="00B90A24">
        <w:rPr>
          <w:sz w:val="28"/>
          <w:szCs w:val="28"/>
        </w:rPr>
        <w:instrText xml:space="preserve"> ADDIN ZOTERO_ITEM CSL_CITATION {"citationID":"8cF7JXyv","properties":{"formattedCitation":"(Morse, 2018)","plainCitation":"(Morse, 2018)","dontUpdate":true,"noteIndex":0},"citationItems":[{"id":3989,"uris":["http://zotero.org/groups/997303/items/FPTTP4QQ"],"uri":["http://zotero.org/groups/997303/items/FPTTP4QQ"],"itemData":{"id":3989,"type":"article-journal","container-title":"The Yale Law Journal Forum","title":"International Cooperation and the 2017 Tax Act","URL":"https://www.yalelawjournal.org/pdf/Morse_ac1hex9k.pdf","author":[{"family":"Morse","given":"Susan C."}],"accessed":{"date-parts":[["2019",5,13]]},"issued":{"date-parts":[["2018",10,25]]}}}],"schema":"https://github.com/citation-style-language/schema/raw/master/csl-citation.json"} </w:instrText>
      </w:r>
      <w:r w:rsidRPr="00B90A24">
        <w:rPr>
          <w:sz w:val="28"/>
          <w:szCs w:val="28"/>
        </w:rPr>
        <w:fldChar w:fldCharType="separate"/>
      </w:r>
      <w:r w:rsidRPr="00B90A24">
        <w:rPr>
          <w:sz w:val="28"/>
          <w:szCs w:val="28"/>
        </w:rPr>
        <w:t>(Morse, 2018</w:t>
      </w:r>
      <w:r w:rsidRPr="00B90A24">
        <w:rPr>
          <w:sz w:val="28"/>
          <w:szCs w:val="28"/>
        </w:rPr>
        <w:fldChar w:fldCharType="end"/>
      </w:r>
      <w:r w:rsidR="00743350" w:rsidRPr="00B90A24">
        <w:rPr>
          <w:sz w:val="28"/>
          <w:szCs w:val="28"/>
        </w:rPr>
        <w:t>)</w:t>
      </w:r>
      <w:r w:rsidR="00341348" w:rsidRPr="00B90A24">
        <w:rPr>
          <w:sz w:val="28"/>
          <w:szCs w:val="28"/>
        </w:rPr>
        <w:t>.</w:t>
      </w:r>
      <w:bookmarkStart w:id="48" w:name="_Hlk530920418"/>
    </w:p>
    <w:bookmarkEnd w:id="48"/>
    <w:p w14:paraId="0344D81B" w14:textId="77777777" w:rsidR="00783A4C" w:rsidRPr="00B90A24" w:rsidRDefault="00783A4C" w:rsidP="00B90A24">
      <w:pPr>
        <w:spacing w:after="0" w:line="240" w:lineRule="auto"/>
        <w:ind w:left="567" w:right="890"/>
        <w:jc w:val="both"/>
        <w:rPr>
          <w:rFonts w:eastAsia="Verdana" w:cs="Verdana"/>
          <w:sz w:val="28"/>
          <w:szCs w:val="28"/>
          <w:lang w:eastAsia="de-DE" w:bidi="he-IL"/>
        </w:rPr>
      </w:pPr>
    </w:p>
    <w:p w14:paraId="665C1C9B" w14:textId="77777777" w:rsidR="0029215D" w:rsidRPr="00B90A24" w:rsidRDefault="004D3EA1" w:rsidP="00B90A24">
      <w:pPr>
        <w:spacing w:after="0" w:line="240" w:lineRule="auto"/>
        <w:ind w:left="567" w:right="890"/>
        <w:jc w:val="both"/>
        <w:rPr>
          <w:rFonts w:eastAsia="Verdana" w:cs="Verdana"/>
          <w:sz w:val="28"/>
          <w:szCs w:val="28"/>
          <w:lang w:eastAsia="de-DE" w:bidi="he-IL"/>
        </w:rPr>
      </w:pPr>
      <w:r w:rsidRPr="00B90A24">
        <w:rPr>
          <w:rFonts w:eastAsia="Verdana" w:cs="Verdana"/>
          <w:sz w:val="28"/>
          <w:szCs w:val="28"/>
          <w:lang w:eastAsia="de-DE" w:bidi="he-IL"/>
        </w:rPr>
        <w:t xml:space="preserve">These measures are a significant step </w:t>
      </w:r>
      <w:r w:rsidR="0003471B" w:rsidRPr="00B90A24">
        <w:rPr>
          <w:rFonts w:eastAsia="Verdana" w:cs="Verdana"/>
          <w:sz w:val="28"/>
          <w:szCs w:val="28"/>
          <w:lang w:eastAsia="de-DE" w:bidi="he-IL"/>
        </w:rPr>
        <w:t xml:space="preserve">in curbing </w:t>
      </w:r>
      <w:r w:rsidR="00A46116" w:rsidRPr="00B90A24">
        <w:rPr>
          <w:rFonts w:eastAsia="Verdana" w:cs="Verdana"/>
          <w:sz w:val="28"/>
          <w:szCs w:val="28"/>
          <w:lang w:eastAsia="de-DE" w:bidi="he-IL"/>
        </w:rPr>
        <w:t xml:space="preserve">profit shifting </w:t>
      </w:r>
      <w:r w:rsidR="00F87EAF" w:rsidRPr="00B90A24">
        <w:rPr>
          <w:rFonts w:eastAsia="Verdana" w:cs="Verdana"/>
          <w:sz w:val="28"/>
          <w:szCs w:val="28"/>
          <w:lang w:eastAsia="de-DE" w:bidi="he-IL"/>
        </w:rPr>
        <w:t xml:space="preserve">by certain </w:t>
      </w:r>
      <w:r w:rsidR="00C12B72" w:rsidRPr="00B90A24">
        <w:rPr>
          <w:rFonts w:eastAsia="Verdana" w:cs="Verdana"/>
          <w:sz w:val="28"/>
          <w:szCs w:val="28"/>
          <w:lang w:eastAsia="de-DE" w:bidi="he-IL"/>
        </w:rPr>
        <w:t xml:space="preserve">taxpayers, </w:t>
      </w:r>
      <w:r w:rsidRPr="00B90A24">
        <w:rPr>
          <w:rFonts w:eastAsia="Verdana" w:cs="Verdana"/>
          <w:sz w:val="28"/>
          <w:szCs w:val="28"/>
          <w:lang w:eastAsia="de-DE" w:bidi="he-IL"/>
        </w:rPr>
        <w:t xml:space="preserve">but they </w:t>
      </w:r>
      <w:r w:rsidR="00EB49C5" w:rsidRPr="00B90A24">
        <w:rPr>
          <w:rFonts w:eastAsia="Verdana" w:cs="Verdana"/>
          <w:sz w:val="28"/>
          <w:szCs w:val="28"/>
          <w:lang w:eastAsia="de-DE" w:bidi="he-IL"/>
        </w:rPr>
        <w:t xml:space="preserve">remain </w:t>
      </w:r>
      <w:r w:rsidRPr="00B90A24">
        <w:rPr>
          <w:rFonts w:eastAsia="Verdana" w:cs="Verdana"/>
          <w:sz w:val="28"/>
          <w:szCs w:val="28"/>
          <w:lang w:eastAsia="de-DE" w:bidi="he-IL"/>
        </w:rPr>
        <w:t xml:space="preserve">open to abuse by multinational companies for tax avoidance purposes. One difficulty in implementing these measures is that tax authorities require significant resources to examine whether there is sufficient evidence for the contribution of the related parties to intellectual property development. The evidence will often be submitted only upon the request of tax administrations. As such, due to capacity constraints of tax administrations, it is likely there will be many cases where the deduction of intra-group royalty payments will not be prohibited by the tax administration only because they did not manage to assess the specific tax file. </w:t>
      </w:r>
      <w:r w:rsidR="00783A4C" w:rsidRPr="00B90A24">
        <w:rPr>
          <w:rFonts w:eastAsia="Verdana" w:cs="Verdana"/>
          <w:sz w:val="28"/>
          <w:szCs w:val="28"/>
          <w:lang w:eastAsia="de-DE" w:bidi="he-IL"/>
        </w:rPr>
        <w:t xml:space="preserve"> </w:t>
      </w:r>
    </w:p>
    <w:p w14:paraId="068975E0" w14:textId="77777777" w:rsidR="0029215D" w:rsidRPr="00B90A24" w:rsidRDefault="0029215D" w:rsidP="00B90A24">
      <w:pPr>
        <w:spacing w:after="0" w:line="240" w:lineRule="auto"/>
        <w:ind w:left="567" w:right="890"/>
        <w:jc w:val="both"/>
        <w:rPr>
          <w:rFonts w:eastAsia="Verdana" w:cs="Verdana"/>
          <w:sz w:val="28"/>
          <w:szCs w:val="28"/>
          <w:lang w:eastAsia="de-DE" w:bidi="he-IL"/>
        </w:rPr>
      </w:pPr>
    </w:p>
    <w:p w14:paraId="3F715C71" w14:textId="341E3950" w:rsidR="004D3EA1" w:rsidRPr="00B90A24" w:rsidRDefault="004D3EA1" w:rsidP="00B90A24">
      <w:pPr>
        <w:spacing w:after="0" w:line="240" w:lineRule="auto"/>
        <w:ind w:left="567" w:right="890"/>
        <w:jc w:val="both"/>
        <w:rPr>
          <w:rFonts w:eastAsia="Verdana" w:cs="Verdana"/>
          <w:sz w:val="28"/>
          <w:szCs w:val="28"/>
          <w:lang w:eastAsia="de-DE" w:bidi="he-IL"/>
        </w:rPr>
      </w:pPr>
      <w:r w:rsidRPr="00B90A24">
        <w:rPr>
          <w:rFonts w:eastAsia="Verdana" w:cs="Verdana"/>
          <w:sz w:val="28"/>
          <w:szCs w:val="28"/>
          <w:lang w:eastAsia="de-DE" w:bidi="he-IL"/>
        </w:rPr>
        <w:t xml:space="preserve">Lastly, the question of whether the deduction of a specific royalty payment is in line with the nexus approach (or similar approaches), and hence justified, is often not clear. Thus, the decision may be subject to the arguments of the multinational companies’ lawyers and accountants or to the discretion of a tax inspector, both of which may lead to an unfair, unlevel playing field. For all of the above reasons and the high risk of base erosion and profit shifting as a result of a deduction of </w:t>
      </w:r>
      <w:r w:rsidRPr="00B90A24">
        <w:rPr>
          <w:rFonts w:eastAsia="Verdana" w:cs="Verdana"/>
          <w:sz w:val="28"/>
          <w:szCs w:val="28"/>
        </w:rPr>
        <w:t xml:space="preserve">royalties paid to non-resident group affiliates, </w:t>
      </w:r>
      <w:r w:rsidRPr="00B90A24">
        <w:rPr>
          <w:rFonts w:eastAsia="Verdana" w:cs="Verdana"/>
          <w:sz w:val="28"/>
          <w:szCs w:val="28"/>
          <w:lang w:eastAsia="de-DE" w:bidi="he-IL"/>
        </w:rPr>
        <w:t>the ideal approach would be to completely disallow the deduction of these payments rather than to limit the deduction.</w:t>
      </w:r>
    </w:p>
    <w:p w14:paraId="021772B4" w14:textId="77777777" w:rsidR="00783A4C" w:rsidRPr="00B90A24" w:rsidRDefault="00783A4C" w:rsidP="00B90A24">
      <w:pPr>
        <w:spacing w:after="0" w:line="240" w:lineRule="auto"/>
        <w:ind w:left="567" w:right="890"/>
        <w:jc w:val="both"/>
        <w:rPr>
          <w:rFonts w:eastAsia="Verdana" w:cs="Verdana"/>
          <w:sz w:val="28"/>
          <w:szCs w:val="28"/>
        </w:rPr>
      </w:pPr>
    </w:p>
    <w:p w14:paraId="2B5876A9" w14:textId="220E28BD" w:rsidR="00783A4C" w:rsidRPr="00B90A24" w:rsidRDefault="004D3EA1" w:rsidP="00B90A24">
      <w:pPr>
        <w:spacing w:after="0" w:line="240" w:lineRule="auto"/>
        <w:ind w:left="567" w:right="890"/>
        <w:jc w:val="both"/>
        <w:rPr>
          <w:sz w:val="28"/>
          <w:szCs w:val="28"/>
        </w:rPr>
      </w:pPr>
      <w:r w:rsidRPr="00B90A24">
        <w:rPr>
          <w:rFonts w:eastAsia="Verdana" w:cs="Verdana"/>
          <w:sz w:val="28"/>
          <w:szCs w:val="28"/>
        </w:rPr>
        <w:t xml:space="preserve">The Corporate Tax Haven Index considers jurisdictions that apply no limits on the deduction of intra-group </w:t>
      </w:r>
      <w:r w:rsidRPr="00B90A24">
        <w:rPr>
          <w:rFonts w:eastAsia="Verdana" w:cs="Verdana"/>
          <w:sz w:val="28"/>
          <w:szCs w:val="28"/>
          <w:lang w:bidi="he-IL"/>
        </w:rPr>
        <w:t>royalty</w:t>
      </w:r>
      <w:r w:rsidRPr="00B90A24">
        <w:rPr>
          <w:rFonts w:eastAsia="Verdana" w:cs="Verdana"/>
          <w:sz w:val="28"/>
          <w:szCs w:val="28"/>
        </w:rPr>
        <w:t xml:space="preserve"> payments as corporate tax havens</w:t>
      </w:r>
      <w:r w:rsidR="00066779" w:rsidRPr="00B90A24">
        <w:rPr>
          <w:rFonts w:eastAsia="Verdana" w:cs="Verdana"/>
          <w:sz w:val="28"/>
          <w:szCs w:val="28"/>
        </w:rPr>
        <w:t xml:space="preserve"> and they</w:t>
      </w:r>
      <w:r w:rsidRPr="00B90A24">
        <w:rPr>
          <w:rFonts w:eastAsia="Verdana" w:cs="Verdana"/>
          <w:sz w:val="28"/>
          <w:szCs w:val="28"/>
        </w:rPr>
        <w:t xml:space="preserve"> </w:t>
      </w:r>
      <w:r w:rsidRPr="00B90A24">
        <w:rPr>
          <w:rFonts w:eastAsia="Verdana" w:cs="Verdana"/>
          <w:sz w:val="28"/>
          <w:szCs w:val="28"/>
        </w:rPr>
        <w:lastRenderedPageBreak/>
        <w:t>receiv</w:t>
      </w:r>
      <w:r w:rsidR="00066779" w:rsidRPr="00B90A24">
        <w:rPr>
          <w:rFonts w:eastAsia="Verdana" w:cs="Verdana"/>
          <w:sz w:val="28"/>
          <w:szCs w:val="28"/>
        </w:rPr>
        <w:t>e</w:t>
      </w:r>
      <w:r w:rsidRPr="00B90A24">
        <w:rPr>
          <w:rFonts w:eastAsia="Verdana" w:cs="Verdana"/>
          <w:sz w:val="28"/>
          <w:szCs w:val="28"/>
        </w:rPr>
        <w:t xml:space="preserve"> a score of 100. The haven score of a jurisdiction is reduced to 75 if the jurisdiction applies a deduction limitation or disallows certain intra-group royalty payments for intangible and intellectual property only if they are not compliant with the OECD nexus rules (“restricted nexus”), </w:t>
      </w:r>
      <w:r w:rsidRPr="00B90A24">
        <w:rPr>
          <w:rFonts w:eastAsia="Verdana" w:cs="Arial"/>
          <w:sz w:val="28"/>
          <w:szCs w:val="28"/>
          <w:lang w:val="en-US" w:bidi="he-IL"/>
        </w:rPr>
        <w:t>as</w:t>
      </w:r>
      <w:r w:rsidRPr="00B90A24">
        <w:rPr>
          <w:rFonts w:eastAsia="Verdana" w:cs="Verdana"/>
          <w:sz w:val="28"/>
          <w:szCs w:val="28"/>
        </w:rPr>
        <w:t xml:space="preserve"> explained above. The haven score is further reduced to 50 if a jurisdiction applies a deduction limitation or disallows certain intra-group royalty payments irrespective of whether the intellectual property regime complies with the OECD nexus approach (“restricted tight”</w:t>
      </w:r>
      <w:r w:rsidRPr="00B90A24">
        <w:rPr>
          <w:rFonts w:eastAsia="Verdana" w:hint="cs"/>
          <w:sz w:val="28"/>
          <w:szCs w:val="28"/>
          <w:rtl/>
          <w:lang w:bidi="he-IL"/>
        </w:rPr>
        <w:t>(</w:t>
      </w:r>
      <w:r w:rsidRPr="00B90A24">
        <w:rPr>
          <w:rFonts w:eastAsia="Verdana" w:cs="Verdana"/>
          <w:sz w:val="28"/>
          <w:szCs w:val="28"/>
        </w:rPr>
        <w:t>. A zero haven score is granted if a jurisdiction does not permit any deductions of intra-group royalty payments whatsoever.</w:t>
      </w:r>
      <w:r w:rsidR="00795CB1" w:rsidRPr="00B90A24">
        <w:rPr>
          <w:sz w:val="28"/>
          <w:szCs w:val="28"/>
        </w:rPr>
        <w:t xml:space="preserve"> Consequently, as presented in Figure 13 above, only South Africa and Tanzania have reduced haven scores.</w:t>
      </w:r>
    </w:p>
    <w:p w14:paraId="62E40FAA" w14:textId="77777777" w:rsidR="00783A4C" w:rsidRPr="00B90A24" w:rsidRDefault="00783A4C" w:rsidP="00B90A24">
      <w:pPr>
        <w:pStyle w:val="Heading2"/>
        <w:numPr>
          <w:ilvl w:val="0"/>
          <w:numId w:val="0"/>
        </w:numPr>
        <w:spacing w:before="0" w:line="240" w:lineRule="auto"/>
        <w:ind w:left="567" w:right="890"/>
        <w:rPr>
          <w:i/>
          <w:color w:val="0070C0"/>
          <w:sz w:val="28"/>
          <w:szCs w:val="28"/>
        </w:rPr>
      </w:pPr>
      <w:bookmarkStart w:id="49" w:name="_Toc17879121"/>
    </w:p>
    <w:p w14:paraId="38FF29E0" w14:textId="1D2D034B" w:rsidR="00AF60AC" w:rsidRPr="00B90A24" w:rsidRDefault="00AF60AC" w:rsidP="00B90A24">
      <w:pPr>
        <w:pStyle w:val="Heading2"/>
        <w:numPr>
          <w:ilvl w:val="1"/>
          <w:numId w:val="21"/>
        </w:numPr>
        <w:spacing w:before="0" w:line="240" w:lineRule="auto"/>
        <w:ind w:left="567" w:right="890" w:hanging="567"/>
        <w:rPr>
          <w:i/>
          <w:color w:val="0070C0"/>
          <w:sz w:val="28"/>
          <w:szCs w:val="28"/>
        </w:rPr>
      </w:pPr>
      <w:r w:rsidRPr="00B90A24">
        <w:rPr>
          <w:i/>
          <w:color w:val="0070C0"/>
          <w:sz w:val="28"/>
          <w:szCs w:val="28"/>
        </w:rPr>
        <w:t>Double tax treaty aggressiveness</w:t>
      </w:r>
      <w:r w:rsidRPr="00B90A24">
        <w:rPr>
          <w:rStyle w:val="FootnoteReference"/>
          <w:i/>
          <w:color w:val="0070C0"/>
          <w:sz w:val="28"/>
          <w:szCs w:val="28"/>
        </w:rPr>
        <w:footnoteReference w:id="18"/>
      </w:r>
      <w:bookmarkEnd w:id="49"/>
    </w:p>
    <w:p w14:paraId="15A431C5" w14:textId="77777777" w:rsidR="00783A4C" w:rsidRPr="00B90A24" w:rsidRDefault="00783A4C" w:rsidP="00B90A24">
      <w:pPr>
        <w:spacing w:after="0" w:line="240" w:lineRule="auto"/>
        <w:ind w:left="567" w:right="890"/>
        <w:jc w:val="both"/>
        <w:rPr>
          <w:sz w:val="28"/>
          <w:szCs w:val="28"/>
        </w:rPr>
      </w:pPr>
    </w:p>
    <w:p w14:paraId="0BB1AB90" w14:textId="30453B01" w:rsidR="00735E58" w:rsidRPr="00B90A24" w:rsidRDefault="00AF60AC" w:rsidP="00B90A24">
      <w:pPr>
        <w:spacing w:after="0" w:line="240" w:lineRule="auto"/>
        <w:ind w:left="567" w:right="890"/>
        <w:jc w:val="both"/>
        <w:rPr>
          <w:sz w:val="28"/>
          <w:szCs w:val="28"/>
        </w:rPr>
      </w:pPr>
      <w:r w:rsidRPr="00B90A24">
        <w:rPr>
          <w:sz w:val="28"/>
          <w:szCs w:val="28"/>
        </w:rPr>
        <w:t xml:space="preserve">When a multinational enterprise based in one jurisdiction invests in or earns income in another jurisdiction, the question arises as to which jurisdiction gets to tax the income. Double tax treaties were designed to address the problem of double taxation by determining how cross-border payments get taxed, by which jurisdiction and at what rate. However, </w:t>
      </w:r>
      <w:r w:rsidR="00C74F6A" w:rsidRPr="00B90A24">
        <w:rPr>
          <w:sz w:val="28"/>
          <w:szCs w:val="28"/>
        </w:rPr>
        <w:t xml:space="preserve">desperate </w:t>
      </w:r>
      <w:r w:rsidR="0078594F" w:rsidRPr="00B90A24">
        <w:rPr>
          <w:sz w:val="28"/>
          <w:szCs w:val="28"/>
        </w:rPr>
        <w:t xml:space="preserve">for FDI, </w:t>
      </w:r>
      <w:r w:rsidR="00AF6582" w:rsidRPr="00B90A24">
        <w:rPr>
          <w:sz w:val="28"/>
          <w:szCs w:val="28"/>
        </w:rPr>
        <w:t xml:space="preserve">many </w:t>
      </w:r>
      <w:r w:rsidR="00F2217B" w:rsidRPr="00B90A24">
        <w:rPr>
          <w:sz w:val="28"/>
          <w:szCs w:val="28"/>
        </w:rPr>
        <w:t xml:space="preserve">developing </w:t>
      </w:r>
      <w:r w:rsidR="00AF6582" w:rsidRPr="00B90A24">
        <w:rPr>
          <w:sz w:val="28"/>
          <w:szCs w:val="28"/>
        </w:rPr>
        <w:t xml:space="preserve">countries have given away their taxing rights in </w:t>
      </w:r>
      <w:r w:rsidR="00DD46EF" w:rsidRPr="00B90A24">
        <w:rPr>
          <w:sz w:val="28"/>
          <w:szCs w:val="28"/>
        </w:rPr>
        <w:t>negotiating</w:t>
      </w:r>
      <w:r w:rsidR="00AF6582" w:rsidRPr="00B90A24">
        <w:rPr>
          <w:sz w:val="28"/>
          <w:szCs w:val="28"/>
        </w:rPr>
        <w:t xml:space="preserve"> </w:t>
      </w:r>
      <w:r w:rsidR="00556B7F" w:rsidRPr="00B90A24">
        <w:rPr>
          <w:sz w:val="28"/>
          <w:szCs w:val="28"/>
        </w:rPr>
        <w:t xml:space="preserve">tax treaties </w:t>
      </w:r>
      <w:r w:rsidRPr="00B90A24">
        <w:rPr>
          <w:sz w:val="28"/>
          <w:szCs w:val="28"/>
        </w:rPr>
        <w:t>that override domestic tax laws and impose very low or zero tax rates</w:t>
      </w:r>
      <w:r w:rsidR="00DD46EF" w:rsidRPr="00B90A24">
        <w:rPr>
          <w:sz w:val="28"/>
          <w:szCs w:val="28"/>
        </w:rPr>
        <w:t xml:space="preserve">. They also </w:t>
      </w:r>
      <w:r w:rsidRPr="00B90A24">
        <w:rPr>
          <w:sz w:val="28"/>
          <w:szCs w:val="28"/>
        </w:rPr>
        <w:t>often include other weaknesses that allow multinationals to reduce their tax bill</w:t>
      </w:r>
      <w:r w:rsidR="00FA3348" w:rsidRPr="00B90A24">
        <w:rPr>
          <w:sz w:val="28"/>
          <w:szCs w:val="28"/>
        </w:rPr>
        <w:t xml:space="preserve"> </w:t>
      </w:r>
      <w:r w:rsidR="00FA3348" w:rsidRPr="00B90A24">
        <w:rPr>
          <w:sz w:val="28"/>
          <w:szCs w:val="28"/>
        </w:rPr>
        <w:fldChar w:fldCharType="begin"/>
      </w:r>
      <w:r w:rsidR="00500851" w:rsidRPr="00B90A24">
        <w:rPr>
          <w:sz w:val="28"/>
          <w:szCs w:val="28"/>
        </w:rPr>
        <w:instrText xml:space="preserve"> ADDIN ZOTERO_ITEM CSL_CITATION {"citationID":"WFJYY5TV","properties":{"formattedCitation":"(Hearson, 2018)","plainCitation":"(Hearson, 2018)","noteIndex":0},"citationItems":[{"id":2978,"uris":["http://zotero.org/groups/997303/items/2W39WJN9"],"uri":["http://zotero.org/groups/997303/items/2W39WJN9"],"itemData":{"id":2978,"type":"article-journal","abstract":"Developing countries have concluded thousands of bilateral tax treaties, which restrict their ‘taxing rights’ over international investment. Qualitative case studies of these negotiation outcomes emphasize power politics, knowledge asymmetries and negotiating capability in the eventual distribution of taxing rights between signatories, yet such insights are absent from cross-country quantitative work. This paper bridges the gap by replicating two quantitative studies, introducing new data on countries' ability to mobilize tax revenue and the outcomes of tax treaty negotiations. It provides statistical support for the insights from qualitative research. The size of a government's revenue base, and its reliance on corporate tax, might affect the salience of the revenue sacrifice in policy makers' minds. These variables influence the likelihood of signing a tax treaty and the particular concessions made. Power asymmetries between signatories lead to more unequal distributions of taxing rights away from developing countries, in contrast to the findings of earlier studies. Developing countries also become better negotiators as they gain experience. © 2018 UNU-WIDER. Journal of International Development published by John Wiley &amp; Sons, Ltd.","container-title":"Journal of International Development","DOI":"10.1002/jid.3351","ISSN":"1099-1328","issue":"2","journalAbbreviation":"J. Int. Dev.","language":"en","page":"233-255","source":"Wiley Online Library","title":"When Do Developing Countries Negotiate Away Their Corporate Tax Base?","volume":"30","author":[{"family":"Hearson","given":"Martin"}],"issued":{"date-parts":[["2018",3,1]]}}}],"schema":"https://github.com/citation-style-language/schema/raw/master/csl-citation.json"} </w:instrText>
      </w:r>
      <w:r w:rsidR="00FA3348" w:rsidRPr="00B90A24">
        <w:rPr>
          <w:sz w:val="28"/>
          <w:szCs w:val="28"/>
        </w:rPr>
        <w:fldChar w:fldCharType="separate"/>
      </w:r>
      <w:r w:rsidR="00B133DE" w:rsidRPr="00B90A24">
        <w:rPr>
          <w:rFonts w:cs="Times New Roman"/>
          <w:sz w:val="28"/>
          <w:szCs w:val="28"/>
        </w:rPr>
        <w:t>(Hearson, 2018)</w:t>
      </w:r>
      <w:r w:rsidR="00FA3348" w:rsidRPr="00B90A24">
        <w:rPr>
          <w:sz w:val="28"/>
          <w:szCs w:val="28"/>
        </w:rPr>
        <w:fldChar w:fldCharType="end"/>
      </w:r>
      <w:r w:rsidR="00611D51" w:rsidRPr="00B90A24">
        <w:rPr>
          <w:sz w:val="28"/>
          <w:szCs w:val="28"/>
        </w:rPr>
        <w:t>.</w:t>
      </w:r>
      <w:r w:rsidR="00EC6493" w:rsidRPr="00B90A24">
        <w:rPr>
          <w:sz w:val="28"/>
          <w:szCs w:val="28"/>
        </w:rPr>
        <w:t xml:space="preserve"> </w:t>
      </w:r>
      <w:r w:rsidR="006C72FA" w:rsidRPr="00B90A24">
        <w:rPr>
          <w:sz w:val="28"/>
          <w:szCs w:val="28"/>
        </w:rPr>
        <w:t xml:space="preserve">Beyond </w:t>
      </w:r>
      <w:r w:rsidR="00DD46EF" w:rsidRPr="00B90A24">
        <w:rPr>
          <w:sz w:val="28"/>
          <w:szCs w:val="28"/>
        </w:rPr>
        <w:t>typically reducing the</w:t>
      </w:r>
      <w:r w:rsidR="006C72FA" w:rsidRPr="00B90A24">
        <w:rPr>
          <w:sz w:val="28"/>
          <w:szCs w:val="28"/>
        </w:rPr>
        <w:t xml:space="preserve"> withholding tax rates on payments of investment income (dividend, interest and royalties), treaties </w:t>
      </w:r>
      <w:r w:rsidR="004C6CCD" w:rsidRPr="00B90A24">
        <w:rPr>
          <w:sz w:val="28"/>
          <w:szCs w:val="28"/>
        </w:rPr>
        <w:t xml:space="preserve">may also </w:t>
      </w:r>
      <w:r w:rsidR="00794A91" w:rsidRPr="00B90A24">
        <w:rPr>
          <w:sz w:val="28"/>
          <w:szCs w:val="28"/>
        </w:rPr>
        <w:t>reduce</w:t>
      </w:r>
      <w:r w:rsidR="004C6CCD" w:rsidRPr="00B90A24">
        <w:rPr>
          <w:sz w:val="28"/>
          <w:szCs w:val="28"/>
        </w:rPr>
        <w:t xml:space="preserve"> source taxing rights by </w:t>
      </w:r>
      <w:r w:rsidR="00C57596" w:rsidRPr="00B90A24">
        <w:rPr>
          <w:sz w:val="28"/>
          <w:szCs w:val="28"/>
        </w:rPr>
        <w:t xml:space="preserve">constraining the definition </w:t>
      </w:r>
      <w:r w:rsidR="004C6B38" w:rsidRPr="00B90A24">
        <w:rPr>
          <w:sz w:val="28"/>
          <w:szCs w:val="28"/>
        </w:rPr>
        <w:t xml:space="preserve">of </w:t>
      </w:r>
      <w:r w:rsidR="004C6CCD" w:rsidRPr="00B90A24">
        <w:rPr>
          <w:sz w:val="28"/>
          <w:szCs w:val="28"/>
        </w:rPr>
        <w:t>permanent establishment</w:t>
      </w:r>
      <w:r w:rsidR="004C6B38" w:rsidRPr="00B90A24">
        <w:rPr>
          <w:sz w:val="28"/>
          <w:szCs w:val="28"/>
        </w:rPr>
        <w:t>s</w:t>
      </w:r>
      <w:r w:rsidR="004C6CCD" w:rsidRPr="00B90A24">
        <w:rPr>
          <w:sz w:val="28"/>
          <w:szCs w:val="28"/>
        </w:rPr>
        <w:t xml:space="preserve"> </w:t>
      </w:r>
      <w:r w:rsidR="006C72FA" w:rsidRPr="00B90A24">
        <w:rPr>
          <w:sz w:val="28"/>
          <w:szCs w:val="28"/>
        </w:rPr>
        <w:t xml:space="preserve">and </w:t>
      </w:r>
      <w:r w:rsidR="00C57596" w:rsidRPr="00B90A24">
        <w:rPr>
          <w:sz w:val="28"/>
          <w:szCs w:val="28"/>
        </w:rPr>
        <w:t>capital gains taxation</w:t>
      </w:r>
      <w:r w:rsidR="004C6B38" w:rsidRPr="00B90A24">
        <w:rPr>
          <w:sz w:val="28"/>
          <w:szCs w:val="28"/>
        </w:rPr>
        <w:t xml:space="preserve"> </w:t>
      </w:r>
      <w:r w:rsidR="004C6B38" w:rsidRPr="00B90A24">
        <w:rPr>
          <w:sz w:val="28"/>
          <w:szCs w:val="28"/>
        </w:rPr>
        <w:fldChar w:fldCharType="begin"/>
      </w:r>
      <w:r w:rsidR="00B133DE" w:rsidRPr="00B90A24">
        <w:rPr>
          <w:sz w:val="28"/>
          <w:szCs w:val="28"/>
        </w:rPr>
        <w:instrText xml:space="preserve"> ADDIN ZOTERO_ITEM CSL_CITATION {"citationID":"a976v3ms2l","properties":{"formattedCitation":"(Hearson, 2016; Mill\\uc0\\u225{}n-Narotzky et al., Forthcoming)","plainCitation":"(Hearson, 2016; Millán-Narotzky et al., Forthcoming)","noteIndex":0},"citationItems":[{"id":5632,"uris":["http://zotero.org/groups/997303/items/YZSM792X"],"uri":["http://zotero.org/groups/997303/items/YZSM792X"],"itemData":{"id":5632,"type":"report","collection-title":"ICTD Working Paper 47","event-place":"Brighton","publisher-place":"Brighton","title":"Measuring Tax Treaty Negotiation Outcomes: The ActionAid Tax Treaties Dataset","title-short":"Measuring Tax Treaty Negotiation Outcomes: The ActionAid Tax Treaties Dataset","URL":"www.ictd.ac/ju-download/file/88-ictd-wp47-pdf/latest/download?2951319cb2220550f30e41fe8d5e70c7=1&amp;return=aHR0cCUzQSUyRiUyRnd3dy5pY3RkLmFjJTJGanUtZG93bmxvYWQlMkYyLXdvcmtpbmctcGFwZXJzJTJGOTktbWVhc3VyaW5nLXRheC10cmVhdHktbmVnb3RpYXRpb24tb3V0Y29tZXMtdGhlLWFjdGlvbmFpZC10YXgtdHJlYXRpZXMtZGF0YXNldA==","author":[{"family":"Hearson","given":"Martin"}],"accessed":{"date-parts":[["2016",2,24]]},"issued":{"date-parts":[["2016"]]}}},{"id":4302,"uris":["http://zotero.org/groups/997303/items/FVUEC422"],"uri":["http://zotero.org/groups/997303/items/FVUEC422"],"itemData":{"id":4302,"type":"report","publisher":"Tax Justice Network / ICTD","title":"Double Tax Treaty Aggressiveness: Who is bringing down taxing rights in Africa?","author":[{"family":"Millán-Narotzky","given":"Lucas"},{"family":"Garcia-Bernardo","given":"Javier"},{"family":"Diakité","given":"Maïmouna"},{"family":"Meinzer","given":"Markus"}],"issued":{"literal":"Forthcoming"}}}],"schema":"https://github.com/citation-style-language/schema/raw/master/csl-citation.json"} </w:instrText>
      </w:r>
      <w:r w:rsidR="004C6B38" w:rsidRPr="00B90A24">
        <w:rPr>
          <w:sz w:val="28"/>
          <w:szCs w:val="28"/>
        </w:rPr>
        <w:fldChar w:fldCharType="separate"/>
      </w:r>
      <w:r w:rsidR="00B133DE" w:rsidRPr="00B90A24">
        <w:rPr>
          <w:rFonts w:cs="Times New Roman"/>
          <w:sz w:val="28"/>
          <w:szCs w:val="28"/>
        </w:rPr>
        <w:t>(Hearson, 2016; Millán-Narotzky et al., Forthcoming)</w:t>
      </w:r>
      <w:r w:rsidR="004C6B38" w:rsidRPr="00B90A24">
        <w:rPr>
          <w:sz w:val="28"/>
          <w:szCs w:val="28"/>
        </w:rPr>
        <w:fldChar w:fldCharType="end"/>
      </w:r>
      <w:r w:rsidR="00C57596" w:rsidRPr="00B90A24">
        <w:rPr>
          <w:sz w:val="28"/>
          <w:szCs w:val="28"/>
        </w:rPr>
        <w:t xml:space="preserve">. </w:t>
      </w:r>
      <w:r w:rsidR="006F4432" w:rsidRPr="00B90A24">
        <w:rPr>
          <w:sz w:val="28"/>
          <w:szCs w:val="28"/>
        </w:rPr>
        <w:t>R</w:t>
      </w:r>
      <w:r w:rsidR="00611D51" w:rsidRPr="00B90A24">
        <w:rPr>
          <w:sz w:val="28"/>
          <w:szCs w:val="28"/>
        </w:rPr>
        <w:t xml:space="preserve">evenue losses </w:t>
      </w:r>
      <w:r w:rsidR="006F4432" w:rsidRPr="00B90A24">
        <w:rPr>
          <w:sz w:val="28"/>
          <w:szCs w:val="28"/>
        </w:rPr>
        <w:t xml:space="preserve">arise often </w:t>
      </w:r>
      <w:r w:rsidR="0038627A" w:rsidRPr="00B90A24">
        <w:rPr>
          <w:sz w:val="28"/>
          <w:szCs w:val="28"/>
        </w:rPr>
        <w:t>in</w:t>
      </w:r>
      <w:r w:rsidR="00F2217B" w:rsidRPr="00B90A24">
        <w:rPr>
          <w:sz w:val="28"/>
          <w:szCs w:val="28"/>
        </w:rPr>
        <w:t xml:space="preserve"> developing countries</w:t>
      </w:r>
      <w:r w:rsidR="00472132" w:rsidRPr="00B90A24">
        <w:rPr>
          <w:sz w:val="28"/>
          <w:szCs w:val="28"/>
        </w:rPr>
        <w:t xml:space="preserve"> </w:t>
      </w:r>
      <w:r w:rsidRPr="00B90A24">
        <w:rPr>
          <w:sz w:val="28"/>
          <w:szCs w:val="28"/>
        </w:rPr>
        <w:t xml:space="preserve">where the genuine economic activity is taking place. </w:t>
      </w:r>
      <w:r w:rsidR="006F7959" w:rsidRPr="00B90A24">
        <w:rPr>
          <w:sz w:val="28"/>
          <w:szCs w:val="28"/>
        </w:rPr>
        <w:t xml:space="preserve">Treaty shopping exacerbates these losses, </w:t>
      </w:r>
      <w:r w:rsidR="009C7226" w:rsidRPr="00B90A24">
        <w:rPr>
          <w:sz w:val="28"/>
          <w:szCs w:val="28"/>
        </w:rPr>
        <w:t>whereby multinational</w:t>
      </w:r>
      <w:r w:rsidR="004A5076" w:rsidRPr="00B90A24">
        <w:rPr>
          <w:sz w:val="28"/>
          <w:szCs w:val="28"/>
        </w:rPr>
        <w:t xml:space="preserve"> companie</w:t>
      </w:r>
      <w:r w:rsidR="009C7226" w:rsidRPr="00B90A24">
        <w:rPr>
          <w:sz w:val="28"/>
          <w:szCs w:val="28"/>
        </w:rPr>
        <w:t xml:space="preserve">s </w:t>
      </w:r>
      <w:r w:rsidR="00306EFB" w:rsidRPr="00B90A24">
        <w:rPr>
          <w:sz w:val="28"/>
          <w:szCs w:val="28"/>
        </w:rPr>
        <w:t xml:space="preserve">exploit </w:t>
      </w:r>
      <w:r w:rsidR="000051DF" w:rsidRPr="00B90A24">
        <w:rPr>
          <w:sz w:val="28"/>
          <w:szCs w:val="28"/>
        </w:rPr>
        <w:t xml:space="preserve">the vast network of treaties negotiated by </w:t>
      </w:r>
      <w:r w:rsidR="006142DA" w:rsidRPr="00B90A24">
        <w:rPr>
          <w:sz w:val="28"/>
          <w:szCs w:val="28"/>
        </w:rPr>
        <w:t xml:space="preserve">corporate tax havens </w:t>
      </w:r>
      <w:r w:rsidR="00DF27B3" w:rsidRPr="00B90A24">
        <w:rPr>
          <w:sz w:val="28"/>
          <w:szCs w:val="28"/>
        </w:rPr>
        <w:t xml:space="preserve">and </w:t>
      </w:r>
      <w:r w:rsidR="006F4432" w:rsidRPr="00B90A24">
        <w:rPr>
          <w:sz w:val="28"/>
          <w:szCs w:val="28"/>
        </w:rPr>
        <w:t xml:space="preserve">“shop” around to find the </w:t>
      </w:r>
      <w:r w:rsidR="00DF27B3" w:rsidRPr="00B90A24">
        <w:rPr>
          <w:sz w:val="28"/>
          <w:szCs w:val="28"/>
        </w:rPr>
        <w:t>lowest tax</w:t>
      </w:r>
      <w:r w:rsidR="00F205C7" w:rsidRPr="00B90A24">
        <w:rPr>
          <w:sz w:val="28"/>
          <w:szCs w:val="28"/>
        </w:rPr>
        <w:t>ed</w:t>
      </w:r>
      <w:r w:rsidR="00DF27B3" w:rsidRPr="00B90A24">
        <w:rPr>
          <w:sz w:val="28"/>
          <w:szCs w:val="28"/>
        </w:rPr>
        <w:t xml:space="preserve"> route </w:t>
      </w:r>
      <w:r w:rsidR="008E02C0" w:rsidRPr="00B90A24">
        <w:rPr>
          <w:sz w:val="28"/>
          <w:szCs w:val="28"/>
        </w:rPr>
        <w:t>for payments</w:t>
      </w:r>
      <w:r w:rsidR="00A8603E" w:rsidRPr="00B90A24">
        <w:rPr>
          <w:sz w:val="28"/>
          <w:szCs w:val="28"/>
        </w:rPr>
        <w:t xml:space="preserve"> by adjusting their </w:t>
      </w:r>
      <w:r w:rsidR="00953AE6" w:rsidRPr="00B90A24">
        <w:rPr>
          <w:sz w:val="28"/>
          <w:szCs w:val="28"/>
        </w:rPr>
        <w:t xml:space="preserve">corporate </w:t>
      </w:r>
      <w:r w:rsidR="004D2C2E" w:rsidRPr="00B90A24">
        <w:rPr>
          <w:sz w:val="28"/>
          <w:szCs w:val="28"/>
        </w:rPr>
        <w:t xml:space="preserve">subsidiary </w:t>
      </w:r>
      <w:r w:rsidR="00DF27B3" w:rsidRPr="00B90A24">
        <w:rPr>
          <w:sz w:val="28"/>
          <w:szCs w:val="28"/>
        </w:rPr>
        <w:t>structur</w:t>
      </w:r>
      <w:r w:rsidR="00A8603E" w:rsidRPr="00B90A24">
        <w:rPr>
          <w:sz w:val="28"/>
          <w:szCs w:val="28"/>
        </w:rPr>
        <w:t>e</w:t>
      </w:r>
      <w:r w:rsidR="00953AE6" w:rsidRPr="00B90A24">
        <w:rPr>
          <w:sz w:val="28"/>
          <w:szCs w:val="28"/>
        </w:rPr>
        <w:t xml:space="preserve"> </w:t>
      </w:r>
      <w:r w:rsidR="00D042B3" w:rsidRPr="00B90A24">
        <w:rPr>
          <w:sz w:val="28"/>
          <w:szCs w:val="28"/>
        </w:rPr>
        <w:t xml:space="preserve">across </w:t>
      </w:r>
      <w:r w:rsidR="006F4432" w:rsidRPr="00B90A24">
        <w:rPr>
          <w:sz w:val="28"/>
          <w:szCs w:val="28"/>
        </w:rPr>
        <w:t>jurisdictions</w:t>
      </w:r>
      <w:r w:rsidR="00A8603E" w:rsidRPr="00B90A24">
        <w:rPr>
          <w:sz w:val="28"/>
          <w:szCs w:val="28"/>
        </w:rPr>
        <w:t xml:space="preserve"> </w:t>
      </w:r>
      <w:r w:rsidR="00DD46EF" w:rsidRPr="00B90A24">
        <w:rPr>
          <w:sz w:val="28"/>
          <w:szCs w:val="28"/>
        </w:rPr>
        <w:t xml:space="preserve">and </w:t>
      </w:r>
      <w:r w:rsidR="00720716" w:rsidRPr="00B90A24">
        <w:rPr>
          <w:sz w:val="28"/>
          <w:szCs w:val="28"/>
        </w:rPr>
        <w:t xml:space="preserve">by creating </w:t>
      </w:r>
      <w:r w:rsidR="00A8603E" w:rsidRPr="00B90A24">
        <w:rPr>
          <w:sz w:val="28"/>
          <w:szCs w:val="28"/>
        </w:rPr>
        <w:t>conduit compan</w:t>
      </w:r>
      <w:r w:rsidR="00295757" w:rsidRPr="00B90A24">
        <w:rPr>
          <w:sz w:val="28"/>
          <w:szCs w:val="28"/>
        </w:rPr>
        <w:t>ies</w:t>
      </w:r>
      <w:r w:rsidR="00453A67" w:rsidRPr="00B90A24">
        <w:rPr>
          <w:sz w:val="28"/>
          <w:szCs w:val="28"/>
        </w:rPr>
        <w:t xml:space="preserve"> </w:t>
      </w:r>
      <w:r w:rsidR="00453A67" w:rsidRPr="00B90A24">
        <w:rPr>
          <w:sz w:val="28"/>
          <w:szCs w:val="28"/>
        </w:rPr>
        <w:fldChar w:fldCharType="begin"/>
      </w:r>
      <w:r w:rsidR="00500851" w:rsidRPr="00B90A24">
        <w:rPr>
          <w:sz w:val="28"/>
          <w:szCs w:val="28"/>
        </w:rPr>
        <w:instrText xml:space="preserve"> ADDIN ZOTERO_ITEM CSL_CITATION {"citationID":"HVEFWOpp","properties":{"formattedCitation":"(Beer &amp; Loeprick, 2018; Weyzig, 2013)","plainCitation":"(Beer &amp; Loeprick, 2018; Weyzig, 2013)","noteIndex":0},"citationItems":[{"id":4141,"uris":["http://zotero.org/groups/997303/items/9UZDRSKW"],"uri":["http://zotero.org/groups/997303/items/9UZDRSKW"],"itemData":{"id":4141,"type":"report","abstract":"This paper investigates the costs and benefits of concluding double tax treaties with investment hubs.  Based on a sample of 41 African economies from 1985–2015, the results suggest that signing treaties with investment hubs is not associated with additional investments; yet, these treaties tend to come with nonnegligible revenue losses. Building on a theoretical model, the paper investigates the role of treaty shopping in driving nominal investment flows and provides indirect evidence for its importance in the sample","language":"en","title":"The Cost and Benefits of Tax Treaties with Investment Hubs: Findings from Sub-Saharan Africa","title-short":"The Cost and Benefits of Tax Treaties with Investment Hubs","URL":"https://www.imf.org/en/Publications/WP/Issues/2018/10/24/The-Cost-and-Benefits-of-Tax-Treaties-with-Investment-Hubs-Findings-from-Sub-Saharan-Africa-46264","author":[{"family":"Beer","given":"Sebastian"},{"family":"Loeprick","given":"Jan"}],"accessed":{"date-parts":[["2019",5,24]]},"issued":{"date-parts":[["2018",10,24]]}}},{"id":5541,"uris":["http://zotero.org/groups/997303/items/3BYZZFVW"],"uri":["http://zotero.org/groups/997303/items/3BYZZFVW"],"itemData":{"id":5541,"type":"article-journal","abstract":"Many multinationals divert Foreign Direct Investment (FDI) through con-duit countries that have a favorable tax treaty network, to avoid host country with-holding taxes. This is referred to as tax treaty shopping. The Netherlands is the world's largest conduit country; in 2009, multinationals held approximately €1,600 billion of FDI via the Netherlands. This paper uses microdata from Dutch Special Purpose Entities to analyze geographical patterns and structural determinants of FDI diversion. Regression analysis confirms that tax treaties are a key determinant of FDI routed through the Netherlands. The effect of tax treaties on FDI diversion partly arises from the reduction of dividend withholding tax rates, which provides strong evidence for tax treaty shopping.","container-title":"Int Tax Public Finance","DOI":"10.1007/s10797-012-9250-z","page":"910–937","title":"Tax treaty shopping: structural determinants of Foreign Direct Investment routed through the Netherlands","volume":"20","author":[{"family":"Weyzig","given":"Francis"}],"issued":{"date-parts":[["2013"]]}}}],"schema":"https://github.com/citation-style-language/schema/raw/master/csl-citation.json"} </w:instrText>
      </w:r>
      <w:r w:rsidR="00453A67" w:rsidRPr="00B90A24">
        <w:rPr>
          <w:sz w:val="28"/>
          <w:szCs w:val="28"/>
        </w:rPr>
        <w:fldChar w:fldCharType="separate"/>
      </w:r>
      <w:r w:rsidR="00B133DE" w:rsidRPr="00B90A24">
        <w:rPr>
          <w:rFonts w:cs="Times New Roman"/>
          <w:sz w:val="28"/>
          <w:szCs w:val="28"/>
        </w:rPr>
        <w:t>(Beer &amp; Loeprick, 2018; Weyzig, 2013)</w:t>
      </w:r>
      <w:r w:rsidR="00453A67" w:rsidRPr="00B90A24">
        <w:rPr>
          <w:sz w:val="28"/>
          <w:szCs w:val="28"/>
        </w:rPr>
        <w:fldChar w:fldCharType="end"/>
      </w:r>
      <w:r w:rsidR="00A8603E" w:rsidRPr="00B90A24">
        <w:rPr>
          <w:sz w:val="28"/>
          <w:szCs w:val="28"/>
        </w:rPr>
        <w:t>.</w:t>
      </w:r>
    </w:p>
    <w:p w14:paraId="7CC58096" w14:textId="77777777" w:rsidR="00783A4C" w:rsidRPr="00B90A24" w:rsidRDefault="00783A4C" w:rsidP="00B90A24">
      <w:pPr>
        <w:spacing w:after="0" w:line="240" w:lineRule="auto"/>
        <w:ind w:left="567" w:right="890"/>
        <w:jc w:val="both"/>
        <w:rPr>
          <w:sz w:val="28"/>
          <w:szCs w:val="28"/>
        </w:rPr>
      </w:pPr>
    </w:p>
    <w:p w14:paraId="192ACBBD" w14:textId="162DF966" w:rsidR="00AF60AC" w:rsidRPr="00B90A24" w:rsidRDefault="00AF60AC" w:rsidP="00B90A24">
      <w:pPr>
        <w:spacing w:after="0" w:line="240" w:lineRule="auto"/>
        <w:ind w:left="567" w:right="890"/>
        <w:jc w:val="both"/>
        <w:rPr>
          <w:sz w:val="28"/>
          <w:szCs w:val="28"/>
        </w:rPr>
      </w:pPr>
      <w:r w:rsidRPr="00B90A24">
        <w:rPr>
          <w:sz w:val="28"/>
          <w:szCs w:val="28"/>
        </w:rPr>
        <w:t xml:space="preserve">This fifth category in the Corporate Tax Haven Index </w:t>
      </w:r>
      <w:r w:rsidR="00302FCE" w:rsidRPr="00B90A24">
        <w:rPr>
          <w:sz w:val="28"/>
          <w:szCs w:val="28"/>
        </w:rPr>
        <w:t xml:space="preserve">consists </w:t>
      </w:r>
      <w:r w:rsidRPr="00B90A24">
        <w:rPr>
          <w:sz w:val="28"/>
          <w:szCs w:val="28"/>
        </w:rPr>
        <w:t>of one indicator which assesses the impact of a jurisdiction’s network of double taxation agreements on the withholding tax rates in interest, dividend and royalties in treaty partner jurisdictions. It measures how aggressive a jurisdiction’s treaty network is on average in pushing down the withholding tax rates in partner jurisdictions. It does this by comparing the analysed jurisdiction’s withholding tax rates with each treaty partner’s average withholding tax rates across the total treaty network.</w:t>
      </w:r>
      <w:r w:rsidR="00323208" w:rsidRPr="00B90A24">
        <w:rPr>
          <w:sz w:val="28"/>
          <w:szCs w:val="28"/>
        </w:rPr>
        <w:t xml:space="preserve"> </w:t>
      </w:r>
      <w:r w:rsidR="00323208" w:rsidRPr="00B90A24">
        <w:rPr>
          <w:sz w:val="28"/>
          <w:szCs w:val="28"/>
        </w:rPr>
        <w:lastRenderedPageBreak/>
        <w:t xml:space="preserve">Tax treaties create a special tax regime for multinational companies within national law and, as Picciotto writes, they are powerful because of the limitations they place on host state sovereignty to tax foreign investors and the enforceable legal rights they create at the national level upon </w:t>
      </w:r>
      <w:r w:rsidR="00DD46EF" w:rsidRPr="00B90A24">
        <w:rPr>
          <w:sz w:val="28"/>
          <w:szCs w:val="28"/>
        </w:rPr>
        <w:t>incorporating the treaty</w:t>
      </w:r>
      <w:r w:rsidR="00323208" w:rsidRPr="00B90A24">
        <w:rPr>
          <w:sz w:val="28"/>
          <w:szCs w:val="28"/>
        </w:rPr>
        <w:t xml:space="preserve"> into </w:t>
      </w:r>
      <w:r w:rsidR="00B87F96" w:rsidRPr="00B90A24">
        <w:rPr>
          <w:sz w:val="28"/>
          <w:szCs w:val="28"/>
        </w:rPr>
        <w:t>domestic</w:t>
      </w:r>
      <w:r w:rsidR="00323208" w:rsidRPr="00B90A24">
        <w:rPr>
          <w:sz w:val="28"/>
          <w:szCs w:val="28"/>
        </w:rPr>
        <w:t xml:space="preserve"> law </w:t>
      </w:r>
      <w:r w:rsidR="00323208" w:rsidRPr="00B90A24">
        <w:rPr>
          <w:sz w:val="28"/>
          <w:szCs w:val="28"/>
        </w:rPr>
        <w:fldChar w:fldCharType="begin"/>
      </w:r>
      <w:r w:rsidR="00500851" w:rsidRPr="00B90A24">
        <w:rPr>
          <w:sz w:val="28"/>
          <w:szCs w:val="28"/>
        </w:rPr>
        <w:instrText xml:space="preserve"> ADDIN ZOTERO_ITEM CSL_CITATION {"citationID":"KPKRVxg4","properties":{"formattedCitation":"(Picciotto, 2019, p. 8)","plainCitation":"(Picciotto, 2019, p. 8)","dontUpdate":true,"noteIndex":0},"citationItems":[{"id":5886,"uris":["http://zotero.org/groups/997303/items/J75EX8PL"],"uri":["http://zotero.org/groups/997303/items/J75EX8PL"],"itemData":{"id":5886,"type":"article-journal","abstract":"International tax rules and norms interact in complex ways with national law, mediated by the professional practices and techniques of lawyers and other tax advisers and practitioners. The current controversy over the proposed tax treaty between Kenya and Mauritius illustrates some of the features of these practices, as well as the policy issues at stake for both the fairness and effectiveness of taxation and the effects of tax treaties on international investment. A clearer understanding of these issues can greatly facilitate public debate on both the role of tax treaties and the current efforts to reform international tax rules.","container-title":"Financing for Development","ISSN":"2664-1968","issue":"1","language":"en","note":"number: 1","source":"uonjournals.uonbi.ac.ke","title":"The interactions of national and international tax law and the Kenya-Mauritius Tax Treaty","URL":"http://uonjournals.uonbi.ac.ke/ojs/index.php/ffd/article/view/251","volume":"1","author":[{"family":"Picciotto","given":"Sol"}],"accessed":{"date-parts":[["2020",6,10]]},"issued":{"date-parts":[["2019",8,21]]}},"locator":"8"}],"schema":"https://github.com/citation-style-language/schema/raw/master/csl-citation.json"} </w:instrText>
      </w:r>
      <w:r w:rsidR="00323208" w:rsidRPr="00B90A24">
        <w:rPr>
          <w:sz w:val="28"/>
          <w:szCs w:val="28"/>
        </w:rPr>
        <w:fldChar w:fldCharType="separate"/>
      </w:r>
      <w:r w:rsidR="00323208" w:rsidRPr="00B90A24">
        <w:rPr>
          <w:rFonts w:cs="Times New Roman"/>
          <w:sz w:val="28"/>
          <w:szCs w:val="28"/>
        </w:rPr>
        <w:t>(2019, p. 8)</w:t>
      </w:r>
      <w:r w:rsidR="00323208" w:rsidRPr="00B90A24">
        <w:rPr>
          <w:sz w:val="28"/>
          <w:szCs w:val="28"/>
        </w:rPr>
        <w:fldChar w:fldCharType="end"/>
      </w:r>
      <w:r w:rsidR="00323208" w:rsidRPr="00B90A24">
        <w:rPr>
          <w:sz w:val="28"/>
          <w:szCs w:val="28"/>
        </w:rPr>
        <w:t>.</w:t>
      </w:r>
    </w:p>
    <w:p w14:paraId="436FDCA3" w14:textId="77777777" w:rsidR="00783A4C" w:rsidRPr="00B90A24" w:rsidRDefault="00783A4C" w:rsidP="00B90A24">
      <w:pPr>
        <w:spacing w:after="0" w:line="240" w:lineRule="auto"/>
        <w:ind w:left="567" w:right="890"/>
        <w:jc w:val="both"/>
        <w:rPr>
          <w:sz w:val="28"/>
          <w:szCs w:val="28"/>
        </w:rPr>
      </w:pPr>
    </w:p>
    <w:p w14:paraId="19D6D639" w14:textId="6541E95A" w:rsidR="00AF60AC" w:rsidRPr="00B90A24" w:rsidRDefault="00AF60AC" w:rsidP="00B90A24">
      <w:pPr>
        <w:spacing w:after="0" w:line="240" w:lineRule="auto"/>
        <w:ind w:left="567" w:right="890"/>
        <w:jc w:val="both"/>
        <w:rPr>
          <w:sz w:val="28"/>
          <w:szCs w:val="28"/>
        </w:rPr>
      </w:pPr>
      <w:r w:rsidRPr="00B90A24">
        <w:rPr>
          <w:sz w:val="28"/>
          <w:szCs w:val="28"/>
        </w:rPr>
        <w:t>In Africa, Mauritius and South Africa stand out with their aggressive double tax treaty networks, as shown in Figure 1</w:t>
      </w:r>
      <w:r w:rsidR="00E91F21" w:rsidRPr="00B90A24">
        <w:rPr>
          <w:sz w:val="28"/>
          <w:szCs w:val="28"/>
        </w:rPr>
        <w:t>4</w:t>
      </w:r>
      <w:r w:rsidRPr="00B90A24">
        <w:rPr>
          <w:sz w:val="28"/>
          <w:szCs w:val="28"/>
        </w:rPr>
        <w:t xml:space="preserve">. Mauritius, in particular, has been negotiating very aggressive treaties. </w:t>
      </w:r>
      <w:r w:rsidR="00323208" w:rsidRPr="00B90A24">
        <w:rPr>
          <w:sz w:val="28"/>
          <w:szCs w:val="28"/>
        </w:rPr>
        <w:t xml:space="preserve">In an analysis of the Kenya-Mauritius tax treaty in the first edition of this journal, Picciotto </w:t>
      </w:r>
      <w:r w:rsidR="00B87F96" w:rsidRPr="00B90A24">
        <w:rPr>
          <w:sz w:val="28"/>
          <w:szCs w:val="28"/>
        </w:rPr>
        <w:t>argues</w:t>
      </w:r>
      <w:r w:rsidR="00323208" w:rsidRPr="00B90A24">
        <w:rPr>
          <w:sz w:val="28"/>
          <w:szCs w:val="28"/>
        </w:rPr>
        <w:t xml:space="preserve"> that “Any benefits to Mauritius are also highly disproportionate to the damage they cause to other countries. Essentially, this amounts to providing facilities that enable an MNE</w:t>
      </w:r>
      <w:r w:rsidR="00B87F96" w:rsidRPr="00B90A24">
        <w:rPr>
          <w:sz w:val="28"/>
          <w:szCs w:val="28"/>
        </w:rPr>
        <w:t xml:space="preserve"> [multinational enterprise]</w:t>
      </w:r>
      <w:r w:rsidR="00323208" w:rsidRPr="00B90A24">
        <w:rPr>
          <w:sz w:val="28"/>
          <w:szCs w:val="28"/>
        </w:rPr>
        <w:t xml:space="preserve"> to avoid tax in countries such as Kenya where they have substantial activities, in exchange for the creation of a few relatively well-paid professional service jobs in Mauritius. This can fairly be described as a beggar-thy-neighbour policy. Yet by signing this treaty Kenya would be accepting or even colluding in this policy”</w:t>
      </w:r>
      <w:r w:rsidR="00B87F96" w:rsidRPr="00B90A24">
        <w:rPr>
          <w:sz w:val="28"/>
          <w:szCs w:val="28"/>
        </w:rPr>
        <w:t xml:space="preserve"> </w:t>
      </w:r>
      <w:r w:rsidR="00B87F96" w:rsidRPr="00B90A24">
        <w:rPr>
          <w:sz w:val="28"/>
          <w:szCs w:val="28"/>
        </w:rPr>
        <w:fldChar w:fldCharType="begin"/>
      </w:r>
      <w:r w:rsidR="00500851" w:rsidRPr="00B90A24">
        <w:rPr>
          <w:sz w:val="28"/>
          <w:szCs w:val="28"/>
        </w:rPr>
        <w:instrText xml:space="preserve"> ADDIN ZOTERO_ITEM CSL_CITATION {"citationID":"iOzLnSfd","properties":{"formattedCitation":"(Picciotto, 2019, p. 16)","plainCitation":"(Picciotto, 2019, p. 16)","dontUpdate":true,"noteIndex":0},"citationItems":[{"id":5886,"uris":["http://zotero.org/groups/997303/items/J75EX8PL"],"uri":["http://zotero.org/groups/997303/items/J75EX8PL"],"itemData":{"id":5886,"type":"article-journal","abstract":"International tax rules and norms interact in complex ways with national law, mediated by the professional practices and techniques of lawyers and other tax advisers and practitioners. The current controversy over the proposed tax treaty between Kenya and Mauritius illustrates some of the features of these practices, as well as the policy issues at stake for both the fairness and effectiveness of taxation and the effects of tax treaties on international investment. A clearer understanding of these issues can greatly facilitate public debate on both the role of tax treaties and the current efforts to reform international tax rules.","container-title":"Financing for Development","ISSN":"2664-1968","issue":"1","language":"en","note":"number: 1","source":"uonjournals.uonbi.ac.ke","title":"The interactions of national and international tax law and the Kenya-Mauritius Tax Treaty","URL":"http://uonjournals.uonbi.ac.ke/ojs/index.php/ffd/article/view/251","volume":"1","author":[{"family":"Picciotto","given":"Sol"}],"accessed":{"date-parts":[["2020",6,10]]},"issued":{"date-parts":[["2019",8,21]]}},"locator":"16"}],"schema":"https://github.com/citation-style-language/schema/raw/master/csl-citation.json"} </w:instrText>
      </w:r>
      <w:r w:rsidR="00B87F96" w:rsidRPr="00B90A24">
        <w:rPr>
          <w:sz w:val="28"/>
          <w:szCs w:val="28"/>
        </w:rPr>
        <w:fldChar w:fldCharType="separate"/>
      </w:r>
      <w:r w:rsidR="00B87F96" w:rsidRPr="00B90A24">
        <w:rPr>
          <w:rFonts w:cs="Times New Roman"/>
          <w:sz w:val="28"/>
          <w:szCs w:val="28"/>
        </w:rPr>
        <w:t>(2019, p. 16)</w:t>
      </w:r>
      <w:r w:rsidR="00B87F96" w:rsidRPr="00B90A24">
        <w:rPr>
          <w:sz w:val="28"/>
          <w:szCs w:val="28"/>
        </w:rPr>
        <w:fldChar w:fldCharType="end"/>
      </w:r>
      <w:r w:rsidR="00323208" w:rsidRPr="00B90A24">
        <w:rPr>
          <w:sz w:val="28"/>
          <w:szCs w:val="28"/>
        </w:rPr>
        <w:t xml:space="preserve">. </w:t>
      </w:r>
      <w:r w:rsidR="007F573F" w:rsidRPr="00B90A24">
        <w:rPr>
          <w:sz w:val="28"/>
          <w:szCs w:val="28"/>
        </w:rPr>
        <w:t>Given the risks posed by Mauritius’s double tax treaty network, i</w:t>
      </w:r>
      <w:r w:rsidR="00BD2408" w:rsidRPr="00B90A24">
        <w:rPr>
          <w:sz w:val="28"/>
          <w:szCs w:val="28"/>
        </w:rPr>
        <w:t>n June 2019</w:t>
      </w:r>
      <w:r w:rsidR="00940865" w:rsidRPr="00B90A24">
        <w:rPr>
          <w:sz w:val="28"/>
          <w:szCs w:val="28"/>
        </w:rPr>
        <w:t xml:space="preserve">, </w:t>
      </w:r>
      <w:r w:rsidR="00323208" w:rsidRPr="00B90A24">
        <w:rPr>
          <w:sz w:val="28"/>
          <w:szCs w:val="28"/>
        </w:rPr>
        <w:t xml:space="preserve">Senegal </w:t>
      </w:r>
      <w:r w:rsidR="00940865" w:rsidRPr="00B90A24">
        <w:rPr>
          <w:sz w:val="28"/>
          <w:szCs w:val="28"/>
        </w:rPr>
        <w:t xml:space="preserve">announced </w:t>
      </w:r>
      <w:r w:rsidR="007F573F" w:rsidRPr="00B90A24">
        <w:rPr>
          <w:sz w:val="28"/>
          <w:szCs w:val="28"/>
        </w:rPr>
        <w:t>it would</w:t>
      </w:r>
      <w:r w:rsidR="00940865" w:rsidRPr="00B90A24">
        <w:rPr>
          <w:sz w:val="28"/>
          <w:szCs w:val="28"/>
        </w:rPr>
        <w:t xml:space="preserve"> cancel </w:t>
      </w:r>
      <w:r w:rsidR="00CC7A21" w:rsidRPr="00B90A24">
        <w:rPr>
          <w:sz w:val="28"/>
          <w:szCs w:val="28"/>
        </w:rPr>
        <w:t xml:space="preserve">its treaty with Mauritius to </w:t>
      </w:r>
      <w:r w:rsidR="000C0066" w:rsidRPr="00B90A24">
        <w:rPr>
          <w:sz w:val="28"/>
          <w:szCs w:val="28"/>
        </w:rPr>
        <w:t xml:space="preserve">stop the associated </w:t>
      </w:r>
      <w:r w:rsidR="00323208" w:rsidRPr="00B90A24">
        <w:rPr>
          <w:sz w:val="28"/>
          <w:szCs w:val="28"/>
        </w:rPr>
        <w:t xml:space="preserve">revenue losses </w:t>
      </w:r>
      <w:r w:rsidR="00F23279" w:rsidRPr="00B90A24">
        <w:rPr>
          <w:sz w:val="28"/>
          <w:szCs w:val="28"/>
        </w:rPr>
        <w:fldChar w:fldCharType="begin"/>
      </w:r>
      <w:r w:rsidR="00500851" w:rsidRPr="00B90A24">
        <w:rPr>
          <w:sz w:val="28"/>
          <w:szCs w:val="28"/>
        </w:rPr>
        <w:instrText xml:space="preserve"> ADDIN ZOTERO_ITEM CSL_CITATION {"citationID":"baju84QS","properties":{"formattedCitation":"(Orbitax, 2020)","plainCitation":"(Orbitax, 2020)","noteIndex":0},"citationItems":[{"id":5615,"uris":["http://zotero.org/groups/997303/items/DFGKCEDX"],"uri":["http://zotero.org/groups/997303/items/DFGKCEDX"],"itemData":{"id":5615,"type":"webpage","title":"Tax Treaty between Mauritius and Senegal Terminated — Orbitax News","URL":"https://www.orbitax.com/news/archive.php/Tax-Treaty-between-Mauritius-a-40865","author":[{"family":"Orbitax","given":""}],"accessed":{"date-parts":[["2020",4,16]]},"issued":{"date-parts":[["2020"]]}}}],"schema":"https://github.com/citation-style-language/schema/raw/master/csl-citation.json"} </w:instrText>
      </w:r>
      <w:r w:rsidR="00F23279" w:rsidRPr="00B90A24">
        <w:rPr>
          <w:sz w:val="28"/>
          <w:szCs w:val="28"/>
        </w:rPr>
        <w:fldChar w:fldCharType="separate"/>
      </w:r>
      <w:r w:rsidR="00B133DE" w:rsidRPr="00B90A24">
        <w:rPr>
          <w:rFonts w:cs="Times New Roman"/>
          <w:sz w:val="28"/>
          <w:szCs w:val="28"/>
        </w:rPr>
        <w:t>(Orbitax, 2020)</w:t>
      </w:r>
      <w:r w:rsidR="00F23279" w:rsidRPr="00B90A24">
        <w:rPr>
          <w:sz w:val="28"/>
          <w:szCs w:val="28"/>
        </w:rPr>
        <w:fldChar w:fldCharType="end"/>
      </w:r>
      <w:r w:rsidR="00323208" w:rsidRPr="00B90A24">
        <w:rPr>
          <w:sz w:val="28"/>
          <w:szCs w:val="28"/>
        </w:rPr>
        <w:t xml:space="preserve">. </w:t>
      </w:r>
      <w:r w:rsidR="00CC7A21" w:rsidRPr="00B90A24">
        <w:rPr>
          <w:sz w:val="28"/>
          <w:szCs w:val="28"/>
        </w:rPr>
        <w:t>Our</w:t>
      </w:r>
      <w:r w:rsidR="00B87F96" w:rsidRPr="00B90A24">
        <w:rPr>
          <w:sz w:val="28"/>
          <w:szCs w:val="28"/>
        </w:rPr>
        <w:t xml:space="preserve"> analysis </w:t>
      </w:r>
      <w:r w:rsidR="00FF02F2" w:rsidRPr="00B90A24">
        <w:rPr>
          <w:sz w:val="28"/>
          <w:szCs w:val="28"/>
        </w:rPr>
        <w:t xml:space="preserve">of that </w:t>
      </w:r>
      <w:r w:rsidR="009C20E6" w:rsidRPr="00B90A24">
        <w:rPr>
          <w:sz w:val="28"/>
          <w:szCs w:val="28"/>
        </w:rPr>
        <w:t xml:space="preserve">cancelled </w:t>
      </w:r>
      <w:r w:rsidR="0021567E" w:rsidRPr="00B90A24">
        <w:rPr>
          <w:sz w:val="28"/>
          <w:szCs w:val="28"/>
        </w:rPr>
        <w:t xml:space="preserve">treaty confirms </w:t>
      </w:r>
      <w:r w:rsidR="006D2496" w:rsidRPr="00B90A24">
        <w:rPr>
          <w:sz w:val="28"/>
          <w:szCs w:val="28"/>
        </w:rPr>
        <w:t>its highly aggressive revenue reduction potential</w:t>
      </w:r>
      <w:r w:rsidR="0077050D" w:rsidRPr="00B90A24">
        <w:rPr>
          <w:sz w:val="28"/>
          <w:szCs w:val="28"/>
        </w:rPr>
        <w:t xml:space="preserve">. </w:t>
      </w:r>
      <w:r w:rsidRPr="00B90A24">
        <w:rPr>
          <w:sz w:val="28"/>
          <w:szCs w:val="28"/>
        </w:rPr>
        <w:t xml:space="preserve">Senegal’s treaty withholding tax rates are above 10 per cent on average for all types of income, but </w:t>
      </w:r>
      <w:r w:rsidR="006B3E38" w:rsidRPr="00B90A24">
        <w:rPr>
          <w:sz w:val="28"/>
          <w:szCs w:val="28"/>
        </w:rPr>
        <w:t xml:space="preserve">its treaty </w:t>
      </w:r>
      <w:r w:rsidR="00F64B54" w:rsidRPr="00B90A24">
        <w:rPr>
          <w:sz w:val="28"/>
          <w:szCs w:val="28"/>
        </w:rPr>
        <w:t xml:space="preserve">signed in 2002 </w:t>
      </w:r>
      <w:r w:rsidR="006B3E38" w:rsidRPr="00B90A24">
        <w:rPr>
          <w:sz w:val="28"/>
          <w:szCs w:val="28"/>
        </w:rPr>
        <w:t xml:space="preserve">with </w:t>
      </w:r>
      <w:r w:rsidRPr="00B90A24">
        <w:rPr>
          <w:sz w:val="28"/>
          <w:szCs w:val="28"/>
        </w:rPr>
        <w:t>Mauritius</w:t>
      </w:r>
      <w:r w:rsidR="00E73F68" w:rsidRPr="00B90A24">
        <w:rPr>
          <w:sz w:val="28"/>
          <w:szCs w:val="28"/>
        </w:rPr>
        <w:t>, effective as of 2005,</w:t>
      </w:r>
      <w:r w:rsidRPr="00B90A24">
        <w:rPr>
          <w:sz w:val="28"/>
          <w:szCs w:val="28"/>
        </w:rPr>
        <w:t xml:space="preserve"> </w:t>
      </w:r>
      <w:r w:rsidR="00971CEB" w:rsidRPr="00B90A24">
        <w:rPr>
          <w:sz w:val="28"/>
          <w:szCs w:val="28"/>
        </w:rPr>
        <w:t>accorded</w:t>
      </w:r>
      <w:r w:rsidRPr="00B90A24">
        <w:rPr>
          <w:sz w:val="28"/>
          <w:szCs w:val="28"/>
        </w:rPr>
        <w:t xml:space="preserve"> zero per cent withholding tax </w:t>
      </w:r>
      <w:r w:rsidR="006B3E38" w:rsidRPr="00B90A24">
        <w:rPr>
          <w:sz w:val="28"/>
          <w:szCs w:val="28"/>
        </w:rPr>
        <w:t>for all payments</w:t>
      </w:r>
      <w:r w:rsidR="00B87F96" w:rsidRPr="00B90A24">
        <w:rPr>
          <w:sz w:val="28"/>
          <w:szCs w:val="28"/>
        </w:rPr>
        <w:t xml:space="preserve">. </w:t>
      </w:r>
      <w:r w:rsidR="00971CEB" w:rsidRPr="00B90A24">
        <w:rPr>
          <w:sz w:val="28"/>
          <w:szCs w:val="28"/>
        </w:rPr>
        <w:t>W</w:t>
      </w:r>
      <w:r w:rsidRPr="00B90A24">
        <w:rPr>
          <w:sz w:val="28"/>
          <w:szCs w:val="28"/>
        </w:rPr>
        <w:t xml:space="preserve">ith these very aggressive treaty rates, Mauritius </w:t>
      </w:r>
      <w:r w:rsidR="00975419" w:rsidRPr="00B90A24">
        <w:rPr>
          <w:sz w:val="28"/>
          <w:szCs w:val="28"/>
        </w:rPr>
        <w:t xml:space="preserve">had </w:t>
      </w:r>
      <w:r w:rsidRPr="00B90A24">
        <w:rPr>
          <w:sz w:val="28"/>
          <w:szCs w:val="28"/>
        </w:rPr>
        <w:t>reduce</w:t>
      </w:r>
      <w:r w:rsidR="00975419" w:rsidRPr="00B90A24">
        <w:rPr>
          <w:sz w:val="28"/>
          <w:szCs w:val="28"/>
        </w:rPr>
        <w:t>d</w:t>
      </w:r>
      <w:r w:rsidRPr="00B90A24">
        <w:rPr>
          <w:sz w:val="28"/>
          <w:szCs w:val="28"/>
        </w:rPr>
        <w:t xml:space="preserve"> the tax base of Senegal and sen</w:t>
      </w:r>
      <w:r w:rsidR="00D54B40" w:rsidRPr="00B90A24">
        <w:rPr>
          <w:sz w:val="28"/>
          <w:szCs w:val="28"/>
        </w:rPr>
        <w:t>t</w:t>
      </w:r>
      <w:r w:rsidRPr="00B90A24">
        <w:rPr>
          <w:sz w:val="28"/>
          <w:szCs w:val="28"/>
        </w:rPr>
        <w:t xml:space="preserve"> a signal to multinational corporations that Mauritius is an advantageous </w:t>
      </w:r>
      <w:r w:rsidR="00E26B41" w:rsidRPr="00B90A24">
        <w:rPr>
          <w:sz w:val="28"/>
          <w:szCs w:val="28"/>
        </w:rPr>
        <w:t xml:space="preserve">hub </w:t>
      </w:r>
      <w:r w:rsidRPr="00B90A24">
        <w:rPr>
          <w:sz w:val="28"/>
          <w:szCs w:val="28"/>
        </w:rPr>
        <w:t xml:space="preserve">to shift profits </w:t>
      </w:r>
      <w:r w:rsidR="00E26B41" w:rsidRPr="00B90A24">
        <w:rPr>
          <w:sz w:val="28"/>
          <w:szCs w:val="28"/>
        </w:rPr>
        <w:t xml:space="preserve">out of </w:t>
      </w:r>
      <w:r w:rsidRPr="00B90A24">
        <w:rPr>
          <w:sz w:val="28"/>
          <w:szCs w:val="28"/>
        </w:rPr>
        <w:t>Senegal.</w:t>
      </w:r>
      <w:r w:rsidRPr="00B90A24">
        <w:rPr>
          <w:rStyle w:val="FootnoteReference"/>
          <w:sz w:val="28"/>
          <w:szCs w:val="28"/>
        </w:rPr>
        <w:footnoteReference w:id="19"/>
      </w:r>
      <w:r w:rsidR="00971CEB" w:rsidRPr="00B90A24">
        <w:rPr>
          <w:sz w:val="28"/>
          <w:szCs w:val="28"/>
        </w:rPr>
        <w:t xml:space="preserve"> </w:t>
      </w:r>
    </w:p>
    <w:p w14:paraId="5312F3F1" w14:textId="77777777" w:rsidR="00695178" w:rsidRPr="00B90A24" w:rsidRDefault="00695178" w:rsidP="00B90A24">
      <w:pPr>
        <w:spacing w:after="0" w:line="240" w:lineRule="auto"/>
        <w:jc w:val="both"/>
        <w:rPr>
          <w:rFonts w:eastAsia="Times New Roman"/>
          <w:sz w:val="28"/>
          <w:szCs w:val="28"/>
          <w:lang w:eastAsia="en-GB"/>
        </w:rPr>
      </w:pPr>
    </w:p>
    <w:p w14:paraId="3E203737" w14:textId="77777777" w:rsidR="00745F35" w:rsidRPr="00B90A24" w:rsidRDefault="00743350" w:rsidP="00B90A24">
      <w:pPr>
        <w:pStyle w:val="Caption"/>
        <w:spacing w:after="0"/>
        <w:ind w:left="709"/>
        <w:rPr>
          <w:sz w:val="28"/>
          <w:szCs w:val="28"/>
        </w:rPr>
      </w:pPr>
      <w:bookmarkStart w:id="50" w:name="_Toc17883044"/>
      <w:bookmarkStart w:id="51" w:name="_Hlk37061717"/>
      <w:r w:rsidRPr="00B90A24">
        <w:rPr>
          <w:noProof/>
          <w:sz w:val="28"/>
          <w:szCs w:val="28"/>
        </w:rPr>
        <w:drawing>
          <wp:inline distT="0" distB="0" distL="0" distR="0" wp14:anchorId="78CB8DD0" wp14:editId="1604F93F">
            <wp:extent cx="5570806" cy="2855595"/>
            <wp:effectExtent l="0" t="0" r="17780" b="14605"/>
            <wp:docPr id="13" name="Chart 13">
              <a:extLst xmlns:a="http://schemas.openxmlformats.org/drawingml/2006/main">
                <a:ext uri="{FF2B5EF4-FFF2-40B4-BE49-F238E27FC236}">
                  <a16:creationId xmlns:a16="http://schemas.microsoft.com/office/drawing/2014/main" id="{B651EC0C-FA41-491E-882E-471A14FFE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BF1D25" w14:textId="5771A6FE" w:rsidR="00783A4C" w:rsidRPr="00B90A24" w:rsidRDefault="00AF60AC" w:rsidP="00C5141D">
      <w:pPr>
        <w:pStyle w:val="Caption"/>
        <w:spacing w:after="0"/>
        <w:ind w:left="709" w:right="606"/>
        <w:rPr>
          <w:sz w:val="28"/>
          <w:szCs w:val="28"/>
        </w:rPr>
      </w:pPr>
      <w:r w:rsidRPr="00B90A24">
        <w:rPr>
          <w:sz w:val="28"/>
          <w:szCs w:val="28"/>
        </w:rPr>
        <w:t xml:space="preserve">Figure </w:t>
      </w:r>
      <w:r w:rsidRPr="00B90A24">
        <w:rPr>
          <w:sz w:val="28"/>
          <w:szCs w:val="28"/>
        </w:rPr>
        <w:fldChar w:fldCharType="begin"/>
      </w:r>
      <w:r w:rsidRPr="00B90A24">
        <w:rPr>
          <w:sz w:val="28"/>
          <w:szCs w:val="28"/>
        </w:rPr>
        <w:instrText xml:space="preserve"> SEQ Figure \* ARABIC </w:instrText>
      </w:r>
      <w:r w:rsidRPr="00B90A24">
        <w:rPr>
          <w:sz w:val="28"/>
          <w:szCs w:val="28"/>
        </w:rPr>
        <w:fldChar w:fldCharType="separate"/>
      </w:r>
      <w:r w:rsidR="00E73F68" w:rsidRPr="00B90A24">
        <w:rPr>
          <w:noProof/>
          <w:sz w:val="28"/>
          <w:szCs w:val="28"/>
        </w:rPr>
        <w:t>14</w:t>
      </w:r>
      <w:r w:rsidRPr="00B90A24">
        <w:rPr>
          <w:sz w:val="28"/>
          <w:szCs w:val="28"/>
        </w:rPr>
        <w:fldChar w:fldCharType="end"/>
      </w:r>
      <w:r w:rsidRPr="00B90A24">
        <w:rPr>
          <w:sz w:val="28"/>
          <w:szCs w:val="28"/>
        </w:rPr>
        <w:t>. Corporate tax haven scores for Africa and averages - Category 5: Double tax treaty aggressiveness</w:t>
      </w:r>
      <w:bookmarkEnd w:id="50"/>
    </w:p>
    <w:p w14:paraId="26282481" w14:textId="77777777" w:rsidR="00783A4C" w:rsidRPr="00B90A24" w:rsidRDefault="00783A4C" w:rsidP="00B90A24">
      <w:pPr>
        <w:pStyle w:val="Heading1"/>
        <w:numPr>
          <w:ilvl w:val="0"/>
          <w:numId w:val="0"/>
        </w:numPr>
        <w:spacing w:before="0" w:line="240" w:lineRule="auto"/>
        <w:ind w:left="360"/>
        <w:rPr>
          <w:color w:val="0070C0"/>
          <w:sz w:val="28"/>
        </w:rPr>
      </w:pPr>
      <w:bookmarkStart w:id="52" w:name="_Toc17879125"/>
      <w:bookmarkEnd w:id="51"/>
    </w:p>
    <w:p w14:paraId="597A33D3" w14:textId="118493D6" w:rsidR="00AF60AC" w:rsidRPr="00B90A24" w:rsidRDefault="00A9558A" w:rsidP="00D7338C">
      <w:pPr>
        <w:pStyle w:val="Heading1"/>
        <w:spacing w:before="0" w:line="240" w:lineRule="auto"/>
        <w:rPr>
          <w:color w:val="0070C0"/>
          <w:sz w:val="28"/>
        </w:rPr>
      </w:pPr>
      <w:r w:rsidRPr="00B90A24">
        <w:rPr>
          <w:color w:val="0070C0"/>
          <w:sz w:val="28"/>
        </w:rPr>
        <w:t>CONCLUSION</w:t>
      </w:r>
      <w:bookmarkEnd w:id="52"/>
    </w:p>
    <w:p w14:paraId="75B7180C" w14:textId="77777777" w:rsidR="00783A4C" w:rsidRPr="00B90A24" w:rsidRDefault="00783A4C" w:rsidP="00B90A24">
      <w:pPr>
        <w:spacing w:after="0" w:line="240" w:lineRule="auto"/>
        <w:jc w:val="both"/>
        <w:rPr>
          <w:sz w:val="28"/>
          <w:szCs w:val="28"/>
        </w:rPr>
      </w:pPr>
    </w:p>
    <w:p w14:paraId="1A00D2D4" w14:textId="60A6639C" w:rsidR="00AF60AC" w:rsidRPr="00B90A24" w:rsidRDefault="00C42973" w:rsidP="00B90A24">
      <w:pPr>
        <w:spacing w:after="0" w:line="240" w:lineRule="auto"/>
        <w:ind w:left="426" w:right="890"/>
        <w:jc w:val="both"/>
        <w:rPr>
          <w:sz w:val="28"/>
          <w:szCs w:val="28"/>
        </w:rPr>
      </w:pPr>
      <w:r w:rsidRPr="00B90A24">
        <w:rPr>
          <w:sz w:val="28"/>
          <w:szCs w:val="28"/>
        </w:rPr>
        <w:t>Corporate tax rules</w:t>
      </w:r>
      <w:r w:rsidR="008441E2" w:rsidRPr="00B90A24">
        <w:rPr>
          <w:sz w:val="28"/>
          <w:szCs w:val="28"/>
        </w:rPr>
        <w:t xml:space="preserve"> undermine the ability of African governments to raise revenue to finance public expenditure. As t</w:t>
      </w:r>
      <w:r w:rsidR="00AF60AC" w:rsidRPr="00B90A24">
        <w:rPr>
          <w:sz w:val="28"/>
          <w:szCs w:val="28"/>
        </w:rPr>
        <w:t>he Corporate Tax Haven Index reveals</w:t>
      </w:r>
      <w:r w:rsidR="008441E2" w:rsidRPr="00B90A24">
        <w:rPr>
          <w:sz w:val="28"/>
          <w:szCs w:val="28"/>
        </w:rPr>
        <w:t xml:space="preserve">, </w:t>
      </w:r>
      <w:r w:rsidR="00AF60AC" w:rsidRPr="00B90A24">
        <w:rPr>
          <w:sz w:val="28"/>
          <w:szCs w:val="28"/>
        </w:rPr>
        <w:t xml:space="preserve">African nations are on average more exposed to tax avoidance risks than responsible for creating these risks, </w:t>
      </w:r>
      <w:r w:rsidR="007F573F" w:rsidRPr="00B90A24">
        <w:rPr>
          <w:sz w:val="28"/>
          <w:szCs w:val="28"/>
        </w:rPr>
        <w:t xml:space="preserve">especially </w:t>
      </w:r>
      <w:r w:rsidR="00AF60AC" w:rsidRPr="00B90A24">
        <w:rPr>
          <w:sz w:val="28"/>
          <w:szCs w:val="28"/>
        </w:rPr>
        <w:t>compared to higher income regions</w:t>
      </w:r>
      <w:r w:rsidR="008441E2" w:rsidRPr="00B90A24">
        <w:rPr>
          <w:sz w:val="28"/>
          <w:szCs w:val="28"/>
        </w:rPr>
        <w:t xml:space="preserve">. </w:t>
      </w:r>
      <w:r w:rsidR="00AF60AC" w:rsidRPr="00B90A24">
        <w:rPr>
          <w:sz w:val="28"/>
          <w:szCs w:val="28"/>
        </w:rPr>
        <w:t xml:space="preserve">When </w:t>
      </w:r>
      <w:r w:rsidRPr="00B90A24">
        <w:rPr>
          <w:sz w:val="28"/>
          <w:szCs w:val="28"/>
        </w:rPr>
        <w:t>focusing</w:t>
      </w:r>
      <w:r w:rsidR="00AF60AC" w:rsidRPr="00B90A24">
        <w:rPr>
          <w:sz w:val="28"/>
          <w:szCs w:val="28"/>
        </w:rPr>
        <w:t xml:space="preserve"> on the details of the tax avoidance risk categories and policies, </w:t>
      </w:r>
      <w:r w:rsidR="00570D8A" w:rsidRPr="00B90A24">
        <w:rPr>
          <w:sz w:val="28"/>
          <w:szCs w:val="28"/>
        </w:rPr>
        <w:t xml:space="preserve">we find </w:t>
      </w:r>
      <w:r w:rsidR="00AF60AC" w:rsidRPr="00B90A24">
        <w:rPr>
          <w:sz w:val="28"/>
          <w:szCs w:val="28"/>
        </w:rPr>
        <w:t>substantial heterogeneity in the relative performance</w:t>
      </w:r>
      <w:r w:rsidR="00F35AC7" w:rsidRPr="00B90A24">
        <w:rPr>
          <w:sz w:val="28"/>
          <w:szCs w:val="28"/>
        </w:rPr>
        <w:t xml:space="preserve"> across political and geographic groupings</w:t>
      </w:r>
      <w:r w:rsidR="00AF60AC" w:rsidRPr="00B90A24">
        <w:rPr>
          <w:sz w:val="28"/>
          <w:szCs w:val="28"/>
        </w:rPr>
        <w:t xml:space="preserve">. </w:t>
      </w:r>
      <w:r w:rsidR="00AF60AC" w:rsidRPr="00B90A24">
        <w:rPr>
          <w:sz w:val="28"/>
          <w:szCs w:val="28"/>
        </w:rPr>
        <w:fldChar w:fldCharType="begin"/>
      </w:r>
      <w:r w:rsidR="00AF60AC" w:rsidRPr="00B90A24">
        <w:rPr>
          <w:sz w:val="28"/>
          <w:szCs w:val="28"/>
        </w:rPr>
        <w:instrText xml:space="preserve"> REF _Ref10788912 \h </w:instrText>
      </w:r>
      <w:r w:rsidR="00DB267A" w:rsidRPr="00B90A24">
        <w:rPr>
          <w:sz w:val="28"/>
          <w:szCs w:val="28"/>
        </w:rPr>
        <w:instrText xml:space="preserve"> \* MERGEFORMAT </w:instrText>
      </w:r>
      <w:r w:rsidR="00AF60AC" w:rsidRPr="00B90A24">
        <w:rPr>
          <w:sz w:val="28"/>
          <w:szCs w:val="28"/>
        </w:rPr>
      </w:r>
      <w:r w:rsidR="00AF60AC" w:rsidRPr="00B90A24">
        <w:rPr>
          <w:sz w:val="28"/>
          <w:szCs w:val="28"/>
        </w:rPr>
        <w:fldChar w:fldCharType="separate"/>
      </w:r>
      <w:r w:rsidR="00B122C4" w:rsidRPr="00B90A24">
        <w:rPr>
          <w:sz w:val="28"/>
          <w:szCs w:val="28"/>
        </w:rPr>
        <w:t>Figure</w:t>
      </w:r>
      <w:r w:rsidR="00B122C4" w:rsidRPr="00B90A24">
        <w:rPr>
          <w:noProof/>
          <w:sz w:val="28"/>
          <w:szCs w:val="28"/>
        </w:rPr>
        <w:t xml:space="preserve"> 15</w:t>
      </w:r>
      <w:r w:rsidR="00AF60AC" w:rsidRPr="00B90A24">
        <w:rPr>
          <w:sz w:val="28"/>
          <w:szCs w:val="28"/>
        </w:rPr>
        <w:fldChar w:fldCharType="end"/>
      </w:r>
      <w:r w:rsidR="00AF60AC" w:rsidRPr="00B90A24">
        <w:rPr>
          <w:sz w:val="28"/>
          <w:szCs w:val="28"/>
        </w:rPr>
        <w:t xml:space="preserve"> shows how African nations have less aggressive treaty networks, have protected higher corporate income tax rates and have fewer loopholes and gaps in their taxation systems that </w:t>
      </w:r>
      <w:r w:rsidR="00C17432" w:rsidRPr="00B90A24">
        <w:rPr>
          <w:sz w:val="28"/>
          <w:szCs w:val="28"/>
        </w:rPr>
        <w:t xml:space="preserve">facilitate </w:t>
      </w:r>
      <w:r w:rsidR="00AF60AC" w:rsidRPr="00B90A24">
        <w:rPr>
          <w:sz w:val="28"/>
          <w:szCs w:val="28"/>
        </w:rPr>
        <w:t xml:space="preserve">profit-shifting activity and the race to the bottom in corporate taxation. Yet in the categories of anti-avoidance and transparency, African countries are performing below the average of the OECD and the </w:t>
      </w:r>
      <w:r w:rsidR="00340231" w:rsidRPr="00B90A24">
        <w:rPr>
          <w:sz w:val="28"/>
          <w:szCs w:val="28"/>
        </w:rPr>
        <w:t>EU</w:t>
      </w:r>
      <w:r w:rsidR="00AF60AC" w:rsidRPr="00B90A24">
        <w:rPr>
          <w:sz w:val="28"/>
          <w:szCs w:val="28"/>
        </w:rPr>
        <w:t xml:space="preserve">. </w:t>
      </w:r>
    </w:p>
    <w:p w14:paraId="6A483D92" w14:textId="77777777" w:rsidR="00783A4C" w:rsidRPr="00B90A24" w:rsidRDefault="00783A4C" w:rsidP="00B90A24">
      <w:pPr>
        <w:spacing w:after="0" w:line="240" w:lineRule="auto"/>
        <w:jc w:val="both"/>
        <w:rPr>
          <w:sz w:val="28"/>
          <w:szCs w:val="28"/>
        </w:rPr>
      </w:pPr>
    </w:p>
    <w:p w14:paraId="29E40DF5" w14:textId="77777777" w:rsidR="00745F35" w:rsidRPr="00B90A24" w:rsidRDefault="00743350" w:rsidP="00C5141D">
      <w:pPr>
        <w:pStyle w:val="Caption"/>
        <w:spacing w:after="0"/>
        <w:ind w:left="851"/>
        <w:rPr>
          <w:sz w:val="28"/>
          <w:szCs w:val="28"/>
        </w:rPr>
      </w:pPr>
      <w:bookmarkStart w:id="53" w:name="_Ref10788912"/>
      <w:bookmarkStart w:id="54" w:name="_Toc17883047"/>
      <w:bookmarkStart w:id="55" w:name="_Hlk34901339"/>
      <w:r w:rsidRPr="00B90A24">
        <w:rPr>
          <w:noProof/>
          <w:sz w:val="28"/>
          <w:szCs w:val="28"/>
        </w:rPr>
        <w:drawing>
          <wp:inline distT="0" distB="0" distL="0" distR="0" wp14:anchorId="34A06B81" wp14:editId="4D9D9A80">
            <wp:extent cx="5584874" cy="2855595"/>
            <wp:effectExtent l="0" t="0" r="15875" b="14605"/>
            <wp:docPr id="10" name="Chart 10">
              <a:extLst xmlns:a="http://schemas.openxmlformats.org/drawingml/2006/main">
                <a:ext uri="{FF2B5EF4-FFF2-40B4-BE49-F238E27FC236}">
                  <a16:creationId xmlns:a16="http://schemas.microsoft.com/office/drawing/2014/main" id="{C31EB5D3-7F1E-4A08-922C-7F0C4E0488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7A96EBD" w14:textId="74F303C2" w:rsidR="00AF60AC" w:rsidRPr="00B90A24" w:rsidRDefault="00AF60AC" w:rsidP="00C5141D">
      <w:pPr>
        <w:pStyle w:val="Caption"/>
        <w:spacing w:after="0"/>
        <w:ind w:left="851" w:right="748"/>
        <w:rPr>
          <w:sz w:val="28"/>
          <w:szCs w:val="28"/>
        </w:rPr>
      </w:pPr>
      <w:r w:rsidRPr="00B90A24">
        <w:rPr>
          <w:sz w:val="28"/>
          <w:szCs w:val="28"/>
        </w:rPr>
        <w:t xml:space="preserve">Figure </w:t>
      </w:r>
      <w:r w:rsidR="00743350" w:rsidRPr="00B90A24">
        <w:rPr>
          <w:sz w:val="28"/>
          <w:szCs w:val="28"/>
        </w:rPr>
        <w:fldChar w:fldCharType="begin"/>
      </w:r>
      <w:r w:rsidR="00743350" w:rsidRPr="00B90A24">
        <w:rPr>
          <w:sz w:val="28"/>
          <w:szCs w:val="28"/>
        </w:rPr>
        <w:instrText>SEQ Figure \* ARABIC</w:instrText>
      </w:r>
      <w:r w:rsidR="00743350" w:rsidRPr="00B90A24">
        <w:rPr>
          <w:sz w:val="28"/>
          <w:szCs w:val="28"/>
        </w:rPr>
        <w:fldChar w:fldCharType="separate"/>
      </w:r>
      <w:r w:rsidR="00E73F68" w:rsidRPr="00B90A24">
        <w:rPr>
          <w:noProof/>
          <w:sz w:val="28"/>
          <w:szCs w:val="28"/>
        </w:rPr>
        <w:t>15</w:t>
      </w:r>
      <w:r w:rsidR="00743350" w:rsidRPr="00B90A24">
        <w:rPr>
          <w:sz w:val="28"/>
          <w:szCs w:val="28"/>
        </w:rPr>
        <w:fldChar w:fldCharType="end"/>
      </w:r>
      <w:bookmarkEnd w:id="53"/>
      <w:r w:rsidRPr="00B90A24">
        <w:rPr>
          <w:sz w:val="28"/>
          <w:szCs w:val="28"/>
        </w:rPr>
        <w:t>. Comparison of five corporate tax haven categories for Africa, the EU and OECD</w:t>
      </w:r>
      <w:bookmarkEnd w:id="54"/>
    </w:p>
    <w:p w14:paraId="10428C56" w14:textId="77777777" w:rsidR="00783A4C" w:rsidRPr="00B90A24" w:rsidRDefault="00783A4C" w:rsidP="00B90A24">
      <w:pPr>
        <w:spacing w:line="240" w:lineRule="auto"/>
        <w:rPr>
          <w:sz w:val="28"/>
          <w:szCs w:val="28"/>
        </w:rPr>
      </w:pPr>
    </w:p>
    <w:bookmarkEnd w:id="55"/>
    <w:p w14:paraId="6255B503" w14:textId="773AB8E9" w:rsidR="004E0551" w:rsidRPr="00B90A24" w:rsidRDefault="00AF60AC" w:rsidP="00B90A24">
      <w:pPr>
        <w:spacing w:after="0" w:line="240" w:lineRule="auto"/>
        <w:ind w:left="426" w:right="890"/>
        <w:jc w:val="both"/>
        <w:rPr>
          <w:sz w:val="28"/>
          <w:szCs w:val="28"/>
        </w:rPr>
      </w:pPr>
      <w:r w:rsidRPr="00B90A24">
        <w:rPr>
          <w:sz w:val="28"/>
          <w:szCs w:val="28"/>
        </w:rPr>
        <w:t xml:space="preserve">The individual policy categories and indicators in the Corporate Tax Haven Index indicate concrete policies and steps African nations can take unilaterally in order to address tax avoidance across all sectors and to improve taxation </w:t>
      </w:r>
      <w:r w:rsidR="007F573F" w:rsidRPr="00B90A24">
        <w:rPr>
          <w:sz w:val="28"/>
          <w:szCs w:val="28"/>
        </w:rPr>
        <w:t>parti</w:t>
      </w:r>
      <w:r w:rsidR="00F40814" w:rsidRPr="00B90A24">
        <w:rPr>
          <w:sz w:val="28"/>
          <w:szCs w:val="28"/>
        </w:rPr>
        <w:t>cularly in</w:t>
      </w:r>
      <w:r w:rsidR="007F573F" w:rsidRPr="00B90A24">
        <w:rPr>
          <w:sz w:val="28"/>
          <w:szCs w:val="28"/>
        </w:rPr>
        <w:t xml:space="preserve"> </w:t>
      </w:r>
      <w:r w:rsidRPr="00B90A24">
        <w:rPr>
          <w:sz w:val="28"/>
          <w:szCs w:val="28"/>
        </w:rPr>
        <w:t>the digital economy. For example</w:t>
      </w:r>
      <w:r w:rsidR="004E0551" w:rsidRPr="00B90A24">
        <w:rPr>
          <w:sz w:val="28"/>
          <w:szCs w:val="28"/>
        </w:rPr>
        <w:t>:</w:t>
      </w:r>
      <w:r w:rsidR="00B90A24" w:rsidRPr="00B90A24">
        <w:rPr>
          <w:sz w:val="28"/>
          <w:szCs w:val="28"/>
        </w:rPr>
        <w:t xml:space="preserve"> i</w:t>
      </w:r>
      <w:r w:rsidRPr="00B90A24">
        <w:rPr>
          <w:sz w:val="28"/>
          <w:szCs w:val="28"/>
        </w:rPr>
        <w:t>mprovements in transparency will assist African tax administrations in prioritising and conducting audits of multinational companies with local subsidiaries and build trust with citizens. This includes requiring all companies to submit accounts and for these to be freely available online, to file country by country reports locally</w:t>
      </w:r>
      <w:r w:rsidR="00386FE6" w:rsidRPr="00B90A24">
        <w:rPr>
          <w:sz w:val="28"/>
          <w:szCs w:val="28"/>
        </w:rPr>
        <w:t xml:space="preserve"> in all cases</w:t>
      </w:r>
      <w:r w:rsidRPr="00B90A24">
        <w:rPr>
          <w:sz w:val="28"/>
          <w:szCs w:val="28"/>
        </w:rPr>
        <w:t xml:space="preserve">, and to report tax avoidance schemes or uncertain tax positions. Public access is vital; tax courts and </w:t>
      </w:r>
      <w:r w:rsidRPr="00B90A24">
        <w:rPr>
          <w:sz w:val="28"/>
          <w:szCs w:val="28"/>
        </w:rPr>
        <w:lastRenderedPageBreak/>
        <w:t>decisions, any unilateral tax rulings issued and contracts for mining and petroleum projects should all be freely accessible to the public.</w:t>
      </w:r>
      <w:r w:rsidR="00B90A24" w:rsidRPr="00B90A24">
        <w:rPr>
          <w:sz w:val="28"/>
          <w:szCs w:val="28"/>
        </w:rPr>
        <w:t xml:space="preserve"> </w:t>
      </w:r>
      <w:r w:rsidRPr="00B90A24">
        <w:rPr>
          <w:sz w:val="28"/>
          <w:szCs w:val="28"/>
        </w:rPr>
        <w:t>Anti-avoidance measures can be improved to reduce the risk of base erosion and profit shifting.</w:t>
      </w:r>
      <w:r w:rsidR="004E0551" w:rsidRPr="00B90A24">
        <w:rPr>
          <w:sz w:val="28"/>
          <w:szCs w:val="28"/>
        </w:rPr>
        <w:t xml:space="preserve"> </w:t>
      </w:r>
      <w:r w:rsidRPr="00B90A24">
        <w:rPr>
          <w:sz w:val="28"/>
          <w:szCs w:val="28"/>
        </w:rPr>
        <w:t xml:space="preserve">Robust controlled foreign company rules and withholding taxes on outbound dividends can act as a backstop for shifting untaxed profits to secrecy jurisdictions and zero tax havens. </w:t>
      </w:r>
    </w:p>
    <w:p w14:paraId="57692ED2" w14:textId="77777777" w:rsidR="00B90A24" w:rsidRPr="00B90A24" w:rsidRDefault="00B90A24" w:rsidP="00B90A24">
      <w:pPr>
        <w:spacing w:after="0" w:line="240" w:lineRule="auto"/>
        <w:ind w:left="426" w:right="890"/>
        <w:jc w:val="both"/>
        <w:rPr>
          <w:sz w:val="28"/>
          <w:szCs w:val="28"/>
        </w:rPr>
      </w:pPr>
    </w:p>
    <w:p w14:paraId="2BBBBDD4" w14:textId="79361ED4" w:rsidR="004E0551" w:rsidRPr="00B90A24" w:rsidRDefault="00AF60AC" w:rsidP="00B90A24">
      <w:pPr>
        <w:spacing w:after="0" w:line="240" w:lineRule="auto"/>
        <w:ind w:left="426" w:right="890"/>
        <w:jc w:val="both"/>
        <w:rPr>
          <w:sz w:val="28"/>
          <w:szCs w:val="28"/>
        </w:rPr>
      </w:pPr>
      <w:r w:rsidRPr="00B90A24">
        <w:rPr>
          <w:sz w:val="28"/>
          <w:szCs w:val="28"/>
        </w:rPr>
        <w:t xml:space="preserve">Deduction limitation rules could be introduced or strengthened to prevent multinationals from deducting interest, royalties and certain service payments from their tax base if paid to other members of the same multinational. Any upcoming trade agreement on the African continent should ensure that such defensive measures remain compatible with the trade regime and regulations. The Rwandan </w:t>
      </w:r>
      <w:r w:rsidR="002002A1" w:rsidRPr="00B90A24">
        <w:rPr>
          <w:sz w:val="28"/>
          <w:szCs w:val="28"/>
        </w:rPr>
        <w:t xml:space="preserve">and Tanzanian </w:t>
      </w:r>
      <w:r w:rsidRPr="00B90A24">
        <w:rPr>
          <w:sz w:val="28"/>
          <w:szCs w:val="28"/>
        </w:rPr>
        <w:t>example</w:t>
      </w:r>
      <w:r w:rsidR="002002A1" w:rsidRPr="00B90A24">
        <w:rPr>
          <w:sz w:val="28"/>
          <w:szCs w:val="28"/>
        </w:rPr>
        <w:t>s</w:t>
      </w:r>
      <w:r w:rsidRPr="00B90A24">
        <w:rPr>
          <w:sz w:val="28"/>
          <w:szCs w:val="28"/>
        </w:rPr>
        <w:t xml:space="preserve"> of limiting the deduction of outbound royalties </w:t>
      </w:r>
      <w:r w:rsidR="002002A1" w:rsidRPr="00B90A24">
        <w:rPr>
          <w:sz w:val="28"/>
          <w:szCs w:val="28"/>
        </w:rPr>
        <w:t xml:space="preserve">are </w:t>
      </w:r>
      <w:r w:rsidRPr="00B90A24">
        <w:rPr>
          <w:sz w:val="28"/>
          <w:szCs w:val="28"/>
        </w:rPr>
        <w:t>case</w:t>
      </w:r>
      <w:r w:rsidR="002002A1" w:rsidRPr="00B90A24">
        <w:rPr>
          <w:sz w:val="28"/>
          <w:szCs w:val="28"/>
        </w:rPr>
        <w:t xml:space="preserve">s </w:t>
      </w:r>
      <w:r w:rsidRPr="00B90A24">
        <w:rPr>
          <w:sz w:val="28"/>
          <w:szCs w:val="28"/>
        </w:rPr>
        <w:t>that warrant close examination by African peers. At the same time, African nations should withstand the false lure of introducing patent box regimes themselves, and consider appropriate reactions to countries that do, including Botswana, Mauritius and the Seychelles.</w:t>
      </w:r>
      <w:r w:rsidR="00783A4C" w:rsidRPr="00B90A24">
        <w:rPr>
          <w:sz w:val="28"/>
          <w:szCs w:val="28"/>
        </w:rPr>
        <w:t xml:space="preserve"> </w:t>
      </w:r>
    </w:p>
    <w:p w14:paraId="3F17F3E4" w14:textId="77777777" w:rsidR="004E0551" w:rsidRPr="00B90A24" w:rsidRDefault="004E0551" w:rsidP="00B90A24">
      <w:pPr>
        <w:spacing w:after="0" w:line="240" w:lineRule="auto"/>
        <w:ind w:left="426" w:right="890"/>
        <w:jc w:val="both"/>
        <w:rPr>
          <w:sz w:val="28"/>
          <w:szCs w:val="28"/>
        </w:rPr>
      </w:pPr>
    </w:p>
    <w:p w14:paraId="7AB7FA23" w14:textId="44E22ABB" w:rsidR="008558CA" w:rsidRPr="00B90A24" w:rsidRDefault="00AF60AC" w:rsidP="00B90A24">
      <w:pPr>
        <w:spacing w:after="0" w:line="240" w:lineRule="auto"/>
        <w:ind w:left="426" w:right="890"/>
        <w:jc w:val="both"/>
        <w:rPr>
          <w:sz w:val="28"/>
          <w:szCs w:val="28"/>
        </w:rPr>
      </w:pPr>
      <w:r w:rsidRPr="00B90A24">
        <w:rPr>
          <w:sz w:val="28"/>
          <w:szCs w:val="28"/>
        </w:rPr>
        <w:t xml:space="preserve">Beyond the domestic reform efforts, the Corporate Tax Haven Index underlines the important differences between members of the OECD and the </w:t>
      </w:r>
      <w:r w:rsidR="00340231" w:rsidRPr="00B90A24">
        <w:rPr>
          <w:sz w:val="28"/>
          <w:szCs w:val="28"/>
        </w:rPr>
        <w:t>EU</w:t>
      </w:r>
      <w:r w:rsidRPr="00B90A24">
        <w:rPr>
          <w:sz w:val="28"/>
          <w:szCs w:val="28"/>
        </w:rPr>
        <w:t xml:space="preserve">, and the African countries included in the sample. These differences suggest that Africa so far is less engaged in a ruinous race to the bottom in corporate taxation than the OECD and the </w:t>
      </w:r>
      <w:r w:rsidR="00340231" w:rsidRPr="00B90A24">
        <w:rPr>
          <w:sz w:val="28"/>
          <w:szCs w:val="28"/>
        </w:rPr>
        <w:t>EU</w:t>
      </w:r>
      <w:r w:rsidRPr="00B90A24">
        <w:rPr>
          <w:sz w:val="28"/>
          <w:szCs w:val="28"/>
        </w:rPr>
        <w:t xml:space="preserve">. </w:t>
      </w:r>
      <w:r w:rsidR="002E19C7" w:rsidRPr="00B90A24">
        <w:rPr>
          <w:sz w:val="28"/>
          <w:szCs w:val="28"/>
        </w:rPr>
        <w:t xml:space="preserve">Yet the stakes are high for African countries as their development rests on revenue mobilisation particularly from corporate income taxation </w:t>
      </w:r>
      <w:r w:rsidR="002E19C7" w:rsidRPr="00B90A24">
        <w:rPr>
          <w:sz w:val="28"/>
          <w:szCs w:val="28"/>
        </w:rPr>
        <w:fldChar w:fldCharType="begin"/>
      </w:r>
      <w:r w:rsidR="00A06D6C" w:rsidRPr="00B90A24">
        <w:rPr>
          <w:sz w:val="28"/>
          <w:szCs w:val="28"/>
        </w:rPr>
        <w:instrText xml:space="preserve"> ADDIN ZOTERO_ITEM CSL_CITATION {"citationID":"a2erpplt7e9","properties":{"formattedCitation":"(Oguttu, 2016)","plainCitation":"(Oguttu, 2016)","noteIndex":0},"citationItems":[{"id":5906,"uris":["http://zotero.org/groups/997303/items/WB7EGXDJ"],"uri":["http://zotero.org/groups/997303/items/WB7EGXDJ"],"itemData":{"id":5906,"type":"report","abstract":"This paper considers what Africa’s response should be to the OECD’s base erosion and profit shifting (BEPS) project. The paper acknowledges that BEPS concerns for developing countries (such as those in Africa) may not necessarily be the same as those for developed countries. The author first explains the concepts of tax avoidance and tax planning, to describe the background to BEPS. An explanation is given of the causes of BEPS, the challenges BEPS poses to corporate tax systems, the importance of corporate taxes in Africa, and the factors that exacerbate BEPS in Africa. The paper also differentiates BEPS from the notion of illicit financial flows – a matter that is causing a lot of confusion to the general public in understanding BEPS issues, and to finding solutions to the problem of capital flight from Africa. Thereafter the author addresses the relevance of the OECD BEPS Project to Africa, the international initiatives that could benefit Africa in curtailing BEPS, and what Africa’s response should be.","event-place":"Rochester, NY","genre":"SSRN Scholarly Paper","language":"en","note":"DOI: 10.2139/ssrn.3120328","number":"ID 3120328","publisher":"Social Science Research Network","publisher-place":"Rochester, NY","source":"papers.ssrn.com","title":"Tax Base Erosion and Profit Shifting in Africa – Part 1: Africa's Response to the OECD BEPS Action Plan","title-short":"Tax Base Erosion and Profit Shifting in Africa – Part 1","URL":"https://papers.ssrn.com/abstract=3120328","author":[{"family":"Oguttu","given":"Anne"}],"accessed":{"date-parts":[["2020",6,12]]},"issued":{"date-parts":[["2016",6,1]]}}}],"schema":"https://github.com/citation-style-language/schema/raw/master/csl-citation.json"} </w:instrText>
      </w:r>
      <w:r w:rsidR="002E19C7" w:rsidRPr="00B90A24">
        <w:rPr>
          <w:sz w:val="28"/>
          <w:szCs w:val="28"/>
        </w:rPr>
        <w:fldChar w:fldCharType="separate"/>
      </w:r>
      <w:r w:rsidR="00B133DE" w:rsidRPr="00B90A24">
        <w:rPr>
          <w:rFonts w:cs="Times New Roman"/>
          <w:sz w:val="28"/>
          <w:szCs w:val="28"/>
        </w:rPr>
        <w:t>(Oguttu, 2016)</w:t>
      </w:r>
      <w:r w:rsidR="002E19C7" w:rsidRPr="00B90A24">
        <w:rPr>
          <w:sz w:val="28"/>
          <w:szCs w:val="28"/>
        </w:rPr>
        <w:fldChar w:fldCharType="end"/>
      </w:r>
      <w:r w:rsidR="002E19C7" w:rsidRPr="00B90A24">
        <w:rPr>
          <w:sz w:val="28"/>
          <w:szCs w:val="28"/>
        </w:rPr>
        <w:t xml:space="preserve">. </w:t>
      </w:r>
    </w:p>
    <w:p w14:paraId="42F5BAEF" w14:textId="77777777" w:rsidR="00783A4C" w:rsidRPr="00B90A24" w:rsidRDefault="00783A4C" w:rsidP="00B90A24">
      <w:pPr>
        <w:spacing w:after="0" w:line="240" w:lineRule="auto"/>
        <w:ind w:left="426" w:right="890"/>
        <w:jc w:val="both"/>
        <w:rPr>
          <w:sz w:val="28"/>
          <w:szCs w:val="28"/>
        </w:rPr>
      </w:pPr>
    </w:p>
    <w:p w14:paraId="798F5FDF" w14:textId="26264F4B" w:rsidR="00AF60AC" w:rsidRPr="00B90A24" w:rsidRDefault="001F7BAD" w:rsidP="00B90A24">
      <w:pPr>
        <w:spacing w:after="0" w:line="240" w:lineRule="auto"/>
        <w:ind w:left="426" w:right="890"/>
        <w:jc w:val="both"/>
        <w:rPr>
          <w:sz w:val="28"/>
          <w:szCs w:val="28"/>
        </w:rPr>
      </w:pPr>
      <w:r w:rsidRPr="00B90A24">
        <w:rPr>
          <w:sz w:val="28"/>
          <w:szCs w:val="28"/>
        </w:rPr>
        <w:t xml:space="preserve">Our findings underline the need for </w:t>
      </w:r>
      <w:r w:rsidR="009E1B40" w:rsidRPr="00B90A24">
        <w:rPr>
          <w:sz w:val="28"/>
          <w:szCs w:val="28"/>
        </w:rPr>
        <w:t xml:space="preserve">vigilance </w:t>
      </w:r>
      <w:r w:rsidR="00A070F5" w:rsidRPr="00B90A24">
        <w:rPr>
          <w:sz w:val="28"/>
          <w:szCs w:val="28"/>
        </w:rPr>
        <w:t xml:space="preserve">in </w:t>
      </w:r>
      <w:r w:rsidR="00AF60AC" w:rsidRPr="00B90A24">
        <w:rPr>
          <w:sz w:val="28"/>
          <w:szCs w:val="28"/>
        </w:rPr>
        <w:t xml:space="preserve">the </w:t>
      </w:r>
      <w:r w:rsidRPr="00B90A24">
        <w:rPr>
          <w:sz w:val="28"/>
          <w:szCs w:val="28"/>
        </w:rPr>
        <w:t xml:space="preserve">current </w:t>
      </w:r>
      <w:r w:rsidR="00AF60AC" w:rsidRPr="00B90A24">
        <w:rPr>
          <w:sz w:val="28"/>
          <w:szCs w:val="28"/>
        </w:rPr>
        <w:t>negotiations</w:t>
      </w:r>
      <w:r w:rsidR="002A7E78" w:rsidRPr="00B90A24">
        <w:rPr>
          <w:sz w:val="28"/>
          <w:szCs w:val="28"/>
        </w:rPr>
        <w:t xml:space="preserve"> </w:t>
      </w:r>
      <w:r w:rsidR="008C57B0" w:rsidRPr="00B90A24">
        <w:rPr>
          <w:sz w:val="28"/>
          <w:szCs w:val="28"/>
        </w:rPr>
        <w:t xml:space="preserve">in </w:t>
      </w:r>
      <w:r w:rsidR="00180CB8" w:rsidRPr="00B90A24">
        <w:rPr>
          <w:sz w:val="28"/>
          <w:szCs w:val="28"/>
        </w:rPr>
        <w:t>the “</w:t>
      </w:r>
      <w:r w:rsidR="002A7E78" w:rsidRPr="00B90A24">
        <w:rPr>
          <w:sz w:val="28"/>
          <w:szCs w:val="28"/>
        </w:rPr>
        <w:t>BEPS 2.0</w:t>
      </w:r>
      <w:r w:rsidR="00180CB8" w:rsidRPr="00B90A24">
        <w:rPr>
          <w:sz w:val="28"/>
          <w:szCs w:val="28"/>
        </w:rPr>
        <w:t>” process</w:t>
      </w:r>
      <w:r w:rsidR="00AF60AC" w:rsidRPr="00B90A24">
        <w:rPr>
          <w:sz w:val="28"/>
          <w:szCs w:val="28"/>
        </w:rPr>
        <w:t xml:space="preserve"> </w:t>
      </w:r>
      <w:r w:rsidR="00CA3EE0" w:rsidRPr="00B90A24">
        <w:rPr>
          <w:sz w:val="28"/>
          <w:szCs w:val="28"/>
        </w:rPr>
        <w:t xml:space="preserve">around </w:t>
      </w:r>
      <w:r w:rsidR="00AF60AC" w:rsidRPr="00B90A24">
        <w:rPr>
          <w:sz w:val="28"/>
          <w:szCs w:val="28"/>
        </w:rPr>
        <w:t xml:space="preserve">the reform </w:t>
      </w:r>
      <w:r w:rsidR="00BA791A" w:rsidRPr="00B90A24">
        <w:rPr>
          <w:sz w:val="28"/>
          <w:szCs w:val="28"/>
        </w:rPr>
        <w:t xml:space="preserve">to the taxation of multinational companies </w:t>
      </w:r>
      <w:r w:rsidR="00DC2634" w:rsidRPr="00B90A24">
        <w:rPr>
          <w:sz w:val="28"/>
          <w:szCs w:val="28"/>
        </w:rPr>
        <w:t>under the inclusive framework of the OECD</w:t>
      </w:r>
      <w:r w:rsidR="00E73F68" w:rsidRPr="00B90A24">
        <w:rPr>
          <w:sz w:val="28"/>
          <w:szCs w:val="28"/>
        </w:rPr>
        <w:t xml:space="preserve"> </w:t>
      </w:r>
      <w:r w:rsidR="00E73F68" w:rsidRPr="00B90A24">
        <w:rPr>
          <w:sz w:val="28"/>
          <w:szCs w:val="28"/>
        </w:rPr>
        <w:fldChar w:fldCharType="begin"/>
      </w:r>
      <w:r w:rsidR="00A06D6C" w:rsidRPr="00B90A24">
        <w:rPr>
          <w:sz w:val="28"/>
          <w:szCs w:val="28"/>
        </w:rPr>
        <w:instrText xml:space="preserve"> ADDIN ZOTERO_ITEM CSL_CITATION {"citationID":"a1ujtk08jvr","properties":{"formattedCitation":"(Cobham, 2019; OECD, 2019b)","plainCitation":"(Cobham, 2019; OECD, 2019b)","noteIndex":0},"citationItems":[{"id":5926,"uris":["http://zotero.org/groups/997303/items/G27PXVAB"],"uri":["http://zotero.org/groups/997303/items/G27PXVAB"],"itemData":{"id":5926,"type":"post-weblog","abstract":"In Paris and London, demand for a comprehensive shift to unitary taxation is reaching new peaks.","container-title":"Tax Justice Network","language":"en-GB","note":"source: www.taxjustice.net","title":"A historic day for unitary taxation","URL":"https://www.taxjustice.net/2019/11/21/a-historic-day-for-unitary-taxation/, https://www.taxjustice.net/2019/11/21/a-historic-day-for-unitary-taxation/","author":[{"family":"Cobham","given":"Alex"}],"accessed":{"date-parts":[["2020",6,19]]},"issued":{"date-parts":[["2019",11,21]]}}},{"id":5925,"uris":["http://zotero.org/groups/997303/items/XTNFN2PM"],"uri":["http://zotero.org/groups/997303/items/XTNFN2PM"],"itemData":{"id":5925,"type":"report","event-place":"Paris","language":"en","page":"44","publisher":"OECD","publisher-place":"Paris","source":"Zotero","title":"Programme of Work to Develop a Consensus Solution to the Tax Challenges Arising from the Digitalisation of the Economy","URL":"http://www.oecd.org/tax/beps/programme-of-work-to-develop-a-consensus-solution-to-the-tax-challenges-arising-from-the-digitalisation-of-the-economy.pdf","author":[{"family":"OECD","given":""}],"accessed":{"date-parts":[["2020",6,18]]},"issued":{"date-parts":[["2019"]]}}}],"schema":"https://github.com/citation-style-language/schema/raw/master/csl-citation.json"} </w:instrText>
      </w:r>
      <w:r w:rsidR="00E73F68" w:rsidRPr="00B90A24">
        <w:rPr>
          <w:sz w:val="28"/>
          <w:szCs w:val="28"/>
        </w:rPr>
        <w:fldChar w:fldCharType="separate"/>
      </w:r>
      <w:r w:rsidR="00B133DE" w:rsidRPr="00B90A24">
        <w:rPr>
          <w:rFonts w:cs="Times New Roman"/>
          <w:sz w:val="28"/>
          <w:szCs w:val="28"/>
        </w:rPr>
        <w:t>(Cobham, 2019; OECD, 2019b)</w:t>
      </w:r>
      <w:r w:rsidR="00E73F68" w:rsidRPr="00B90A24">
        <w:rPr>
          <w:sz w:val="28"/>
          <w:szCs w:val="28"/>
        </w:rPr>
        <w:fldChar w:fldCharType="end"/>
      </w:r>
      <w:r w:rsidR="00662E09" w:rsidRPr="00B90A24">
        <w:rPr>
          <w:sz w:val="28"/>
          <w:szCs w:val="28"/>
        </w:rPr>
        <w:t xml:space="preserve">. </w:t>
      </w:r>
      <w:r w:rsidR="002A01B3" w:rsidRPr="00B90A24">
        <w:rPr>
          <w:sz w:val="28"/>
          <w:szCs w:val="28"/>
        </w:rPr>
        <w:t>T</w:t>
      </w:r>
      <w:r w:rsidR="00F40814" w:rsidRPr="00B90A24">
        <w:rPr>
          <w:sz w:val="28"/>
          <w:szCs w:val="28"/>
        </w:rPr>
        <w:t>he</w:t>
      </w:r>
      <w:r w:rsidR="00B133DE" w:rsidRPr="00B90A24">
        <w:rPr>
          <w:sz w:val="28"/>
          <w:szCs w:val="28"/>
        </w:rPr>
        <w:t xml:space="preserve"> preference of</w:t>
      </w:r>
      <w:r w:rsidR="00F40814" w:rsidRPr="00B90A24">
        <w:rPr>
          <w:sz w:val="28"/>
          <w:szCs w:val="28"/>
        </w:rPr>
        <w:t xml:space="preserve"> OECD</w:t>
      </w:r>
      <w:r w:rsidR="0081603E" w:rsidRPr="00B90A24">
        <w:rPr>
          <w:sz w:val="28"/>
          <w:szCs w:val="28"/>
        </w:rPr>
        <w:t xml:space="preserve"> member</w:t>
      </w:r>
      <w:r w:rsidR="00F40814" w:rsidRPr="00B90A24">
        <w:rPr>
          <w:sz w:val="28"/>
          <w:szCs w:val="28"/>
        </w:rPr>
        <w:t>s</w:t>
      </w:r>
      <w:r w:rsidR="00AF60AC" w:rsidRPr="00B90A24">
        <w:rPr>
          <w:sz w:val="28"/>
          <w:szCs w:val="28"/>
        </w:rPr>
        <w:t xml:space="preserve"> for lenient corporate income tax rules</w:t>
      </w:r>
      <w:r w:rsidR="00B133DE" w:rsidRPr="00B90A24">
        <w:rPr>
          <w:sz w:val="28"/>
          <w:szCs w:val="28"/>
        </w:rPr>
        <w:t>,</w:t>
      </w:r>
      <w:r w:rsidR="002D009A" w:rsidRPr="00B90A24">
        <w:rPr>
          <w:sz w:val="28"/>
          <w:szCs w:val="28"/>
        </w:rPr>
        <w:t xml:space="preserve"> as documented</w:t>
      </w:r>
      <w:r w:rsidR="00AF60AC" w:rsidRPr="00B90A24">
        <w:rPr>
          <w:sz w:val="28"/>
          <w:szCs w:val="28"/>
        </w:rPr>
        <w:t xml:space="preserve"> </w:t>
      </w:r>
      <w:r w:rsidR="002A01B3" w:rsidRPr="00B90A24">
        <w:rPr>
          <w:sz w:val="28"/>
          <w:szCs w:val="28"/>
        </w:rPr>
        <w:t xml:space="preserve">in many of the haven indicators of the </w:t>
      </w:r>
      <w:r w:rsidR="00B133DE" w:rsidRPr="00B90A24">
        <w:rPr>
          <w:sz w:val="28"/>
          <w:szCs w:val="28"/>
        </w:rPr>
        <w:t>Corporate Tax Haven Index,</w:t>
      </w:r>
      <w:r w:rsidR="002A01B3" w:rsidRPr="00B90A24">
        <w:rPr>
          <w:sz w:val="28"/>
          <w:szCs w:val="28"/>
        </w:rPr>
        <w:t xml:space="preserve"> </w:t>
      </w:r>
      <w:r w:rsidR="00E7607D" w:rsidRPr="00B90A24">
        <w:rPr>
          <w:sz w:val="28"/>
          <w:szCs w:val="28"/>
        </w:rPr>
        <w:t xml:space="preserve">is </w:t>
      </w:r>
      <w:r w:rsidR="005670F5" w:rsidRPr="00B90A24">
        <w:rPr>
          <w:sz w:val="28"/>
          <w:szCs w:val="28"/>
        </w:rPr>
        <w:t xml:space="preserve">likely to influence, if not </w:t>
      </w:r>
      <w:r w:rsidR="00AF60AC" w:rsidRPr="00B90A24">
        <w:rPr>
          <w:sz w:val="28"/>
          <w:szCs w:val="28"/>
        </w:rPr>
        <w:t>determine</w:t>
      </w:r>
      <w:r w:rsidR="005670F5" w:rsidRPr="00B90A24">
        <w:rPr>
          <w:sz w:val="28"/>
          <w:szCs w:val="28"/>
        </w:rPr>
        <w:t>,</w:t>
      </w:r>
      <w:r w:rsidR="00AF60AC" w:rsidRPr="00B90A24">
        <w:rPr>
          <w:sz w:val="28"/>
          <w:szCs w:val="28"/>
        </w:rPr>
        <w:t xml:space="preserve"> the negotiation </w:t>
      </w:r>
      <w:r w:rsidR="00F40814" w:rsidRPr="00B90A24">
        <w:rPr>
          <w:sz w:val="28"/>
          <w:szCs w:val="28"/>
        </w:rPr>
        <w:t xml:space="preserve">strategies </w:t>
      </w:r>
      <w:r w:rsidR="00AF60AC" w:rsidRPr="00B90A24">
        <w:rPr>
          <w:sz w:val="28"/>
          <w:szCs w:val="28"/>
        </w:rPr>
        <w:t>of many member states</w:t>
      </w:r>
      <w:r w:rsidR="00E63DF9" w:rsidRPr="00B90A24">
        <w:rPr>
          <w:sz w:val="28"/>
          <w:szCs w:val="28"/>
        </w:rPr>
        <w:t>. This may</w:t>
      </w:r>
      <w:r w:rsidR="00C01904" w:rsidRPr="00B90A24">
        <w:rPr>
          <w:sz w:val="28"/>
          <w:szCs w:val="28"/>
        </w:rPr>
        <w:t xml:space="preserve"> </w:t>
      </w:r>
      <w:r w:rsidR="009673CA" w:rsidRPr="00B90A24">
        <w:rPr>
          <w:sz w:val="28"/>
          <w:szCs w:val="28"/>
        </w:rPr>
        <w:t>side</w:t>
      </w:r>
      <w:r w:rsidR="00C01904" w:rsidRPr="00B90A24">
        <w:rPr>
          <w:sz w:val="28"/>
          <w:szCs w:val="28"/>
        </w:rPr>
        <w:t>-</w:t>
      </w:r>
      <w:r w:rsidR="009673CA" w:rsidRPr="00B90A24">
        <w:rPr>
          <w:sz w:val="28"/>
          <w:szCs w:val="28"/>
        </w:rPr>
        <w:t>lin</w:t>
      </w:r>
      <w:r w:rsidR="00E63DF9" w:rsidRPr="00B90A24">
        <w:rPr>
          <w:sz w:val="28"/>
          <w:szCs w:val="28"/>
        </w:rPr>
        <w:t>e</w:t>
      </w:r>
      <w:r w:rsidR="009673CA" w:rsidRPr="00B90A24">
        <w:rPr>
          <w:sz w:val="28"/>
          <w:szCs w:val="28"/>
        </w:rPr>
        <w:t xml:space="preserve"> more ambitious proposals </w:t>
      </w:r>
      <w:r w:rsidR="00531CE1" w:rsidRPr="00B90A24">
        <w:rPr>
          <w:sz w:val="28"/>
          <w:szCs w:val="28"/>
        </w:rPr>
        <w:t>for comprehensive reforms</w:t>
      </w:r>
      <w:r w:rsidR="00B1575B" w:rsidRPr="00B90A24">
        <w:rPr>
          <w:sz w:val="28"/>
          <w:szCs w:val="28"/>
        </w:rPr>
        <w:t>, such as those made</w:t>
      </w:r>
      <w:r w:rsidR="00095223" w:rsidRPr="00B90A24">
        <w:rPr>
          <w:sz w:val="28"/>
          <w:szCs w:val="28"/>
        </w:rPr>
        <w:t xml:space="preserve"> by the </w:t>
      </w:r>
      <w:r w:rsidR="00531CE1" w:rsidRPr="00B90A24">
        <w:rPr>
          <w:sz w:val="28"/>
          <w:szCs w:val="28"/>
        </w:rPr>
        <w:t xml:space="preserve">Intergovernmental Group of Twenty-Four </w:t>
      </w:r>
      <w:r w:rsidR="00457F36" w:rsidRPr="00B90A24">
        <w:rPr>
          <w:sz w:val="28"/>
          <w:szCs w:val="28"/>
        </w:rPr>
        <w:t>(</w:t>
      </w:r>
      <w:r w:rsidR="00BE491C" w:rsidRPr="00B90A24">
        <w:rPr>
          <w:sz w:val="28"/>
          <w:szCs w:val="28"/>
        </w:rPr>
        <w:t>G24</w:t>
      </w:r>
      <w:r w:rsidR="00457F36" w:rsidRPr="00B90A24">
        <w:rPr>
          <w:sz w:val="28"/>
          <w:szCs w:val="28"/>
        </w:rPr>
        <w:t>)</w:t>
      </w:r>
      <w:r w:rsidR="00B1575B" w:rsidRPr="00B90A24">
        <w:rPr>
          <w:sz w:val="28"/>
          <w:szCs w:val="28"/>
        </w:rPr>
        <w:t xml:space="preserve">, comprising </w:t>
      </w:r>
      <w:r w:rsidR="00457F36" w:rsidRPr="00B90A24">
        <w:rPr>
          <w:sz w:val="28"/>
          <w:szCs w:val="28"/>
        </w:rPr>
        <w:t>developing countries</w:t>
      </w:r>
      <w:r w:rsidR="00B1575B" w:rsidRPr="00B90A24">
        <w:rPr>
          <w:sz w:val="28"/>
          <w:szCs w:val="28"/>
        </w:rPr>
        <w:t>, including 11 African countries,</w:t>
      </w:r>
      <w:r w:rsidR="00457F36" w:rsidRPr="00B90A24">
        <w:rPr>
          <w:sz w:val="28"/>
          <w:szCs w:val="28"/>
        </w:rPr>
        <w:t xml:space="preserve"> </w:t>
      </w:r>
      <w:r w:rsidR="00BE491C" w:rsidRPr="00B90A24">
        <w:rPr>
          <w:sz w:val="28"/>
          <w:szCs w:val="28"/>
        </w:rPr>
        <w:t xml:space="preserve">and </w:t>
      </w:r>
      <w:r w:rsidR="00726CF7" w:rsidRPr="00B90A24">
        <w:rPr>
          <w:sz w:val="28"/>
          <w:szCs w:val="28"/>
        </w:rPr>
        <w:t xml:space="preserve">by </w:t>
      </w:r>
      <w:r w:rsidR="00F40814" w:rsidRPr="00B90A24">
        <w:rPr>
          <w:sz w:val="28"/>
          <w:szCs w:val="28"/>
        </w:rPr>
        <w:t xml:space="preserve">the </w:t>
      </w:r>
      <w:r w:rsidR="00B1575B" w:rsidRPr="00B90A24">
        <w:rPr>
          <w:sz w:val="28"/>
          <w:szCs w:val="28"/>
        </w:rPr>
        <w:t>Independent Commission for the Reform of International Corporate Taxation (</w:t>
      </w:r>
      <w:r w:rsidR="00BE491C" w:rsidRPr="00B90A24">
        <w:rPr>
          <w:sz w:val="28"/>
          <w:szCs w:val="28"/>
        </w:rPr>
        <w:t>ICRICT</w:t>
      </w:r>
      <w:r w:rsidR="00B1575B" w:rsidRPr="00B90A24">
        <w:rPr>
          <w:sz w:val="28"/>
          <w:szCs w:val="28"/>
        </w:rPr>
        <w:t xml:space="preserve">) </w:t>
      </w:r>
      <w:r w:rsidR="008441E2" w:rsidRPr="00B90A24">
        <w:rPr>
          <w:sz w:val="28"/>
          <w:szCs w:val="28"/>
        </w:rPr>
        <w:fldChar w:fldCharType="begin"/>
      </w:r>
      <w:r w:rsidR="00B133DE" w:rsidRPr="00B90A24">
        <w:rPr>
          <w:sz w:val="28"/>
          <w:szCs w:val="28"/>
        </w:rPr>
        <w:instrText xml:space="preserve"> ADDIN ZOTERO_ITEM CSL_CITATION {"citationID":"a1ai74l7eve","properties":{"formattedCitation":"\\uldash{(G24, 2019; Independent Commission for the Reform of International Corporate Taxation (ICRICT), 2019; Tax Justice Network, 2019)}","plainCitation":"(G24, 2019; Independent Commission for the Reform of International Corporate Taxation (ICRICT), 2019; Tax Justice Network, 2019)","dontUpdate":true,"noteIndex":0},"citationItems":[{"id":5889,"uris":["http://zotero.org/groups/997303/items/HBSQS2H4"],"uri":["http://zotero.org/groups/997303/items/HBSQS2H4"],"itemData":{"id":5889,"type":"report","title":"Comments of the G-24 on the OECD Secretariat Proposal for a Unified Approach to the Nexus and Profit Allocation Challenges Arising from the Digitalisation (Pillar 1)","URL":"https://www.g24.org/wp-content/uploads/2019/12/G-24_Comments-on-OECD-Secretariat-Proposal-for-a-Unified-Approach.pdf","author":[{"family":"G24","given":""}],"accessed":{"date-parts":[["2020",6,10]]},"issued":{"date-parts":[["2019",11,9]]}}},{"id":"LppWUde1/MI0pK0Cg","uris":["http://zotero.org/users/1521920/items/JIC7JYSU"],"uri":["http://zotero.org/users/1521920/items/JIC7JYSU"],"itemData":{"id":35414,"type":"report","title":"International corporate tax reform: Towards a fair and comprehensive solution","URL":"https://static1.squarespace.com/static/5a0c602bf43b5594845abb81/t/5d979e6dc5f7cb7b66842c49/1570217588721/ICRICT-INTERNATIONAL+CORPORATE+TAX+REFORM.pdf","author":[{"family":"Independent Commission for the Reform of International Corporate Taxation (ICRICT)","given":""}],"accessed":{"date-parts":[["2020",6,10]]},"issued":{"date-parts":[["2019",10]]}}},{"id":3768,"uris":["http://zotero.org/groups/997303/items/KGRDWEY7"],"uri":["http://zotero.org/groups/997303/items/KGRDWEY7"],"itemData":{"id":3768,"type":"report","title":"Consultation Response to OECD's consultation \"addressing the tax challenges of the digitalisation of the economy\"","URL":"https://www.oecd-ilibrary.org/docserver/a07f9958-en.pdf?expires=1554297852&amp;id=id&amp;accname=guest&amp;checksum=09CBD5891A2C3B7E7759E3B312D574F6","author":[{"family":"Tax Justice Network","given":""}],"accessed":{"date-parts":[["2019",4,3]]},"issued":{"date-parts":[["2019"]]}}}],"schema":"https://github.com/citation-style-language/schema/raw/master/csl-citation.json"} </w:instrText>
      </w:r>
      <w:r w:rsidR="008441E2" w:rsidRPr="00B90A24">
        <w:rPr>
          <w:sz w:val="28"/>
          <w:szCs w:val="28"/>
        </w:rPr>
        <w:fldChar w:fldCharType="separate"/>
      </w:r>
      <w:r w:rsidR="00A90A21" w:rsidRPr="00B90A24">
        <w:rPr>
          <w:rFonts w:cs="Times New Roman"/>
          <w:sz w:val="28"/>
          <w:szCs w:val="28"/>
        </w:rPr>
        <w:t>(G24, 2019; ICRICT, 2019; Tax Justice Network, 2019)</w:t>
      </w:r>
      <w:r w:rsidR="008441E2" w:rsidRPr="00B90A24">
        <w:rPr>
          <w:sz w:val="28"/>
          <w:szCs w:val="28"/>
        </w:rPr>
        <w:fldChar w:fldCharType="end"/>
      </w:r>
      <w:r w:rsidR="008441E2" w:rsidRPr="00B90A24">
        <w:rPr>
          <w:sz w:val="28"/>
          <w:szCs w:val="28"/>
        </w:rPr>
        <w:t>.</w:t>
      </w:r>
      <w:r w:rsidR="00AF60AC" w:rsidRPr="00B90A24">
        <w:rPr>
          <w:sz w:val="28"/>
          <w:szCs w:val="28"/>
        </w:rPr>
        <w:t xml:space="preserve"> </w:t>
      </w:r>
      <w:r w:rsidR="00D405CD" w:rsidRPr="00B90A24">
        <w:rPr>
          <w:sz w:val="28"/>
          <w:szCs w:val="28"/>
        </w:rPr>
        <w:t>Preliminary analysi</w:t>
      </w:r>
      <w:r w:rsidR="00140B9C" w:rsidRPr="00B90A24">
        <w:rPr>
          <w:sz w:val="28"/>
          <w:szCs w:val="28"/>
        </w:rPr>
        <w:t xml:space="preserve">s of the </w:t>
      </w:r>
      <w:r w:rsidR="005E56CC" w:rsidRPr="00B90A24">
        <w:rPr>
          <w:sz w:val="28"/>
          <w:szCs w:val="28"/>
        </w:rPr>
        <w:t xml:space="preserve">2019 </w:t>
      </w:r>
      <w:r w:rsidR="00140B9C" w:rsidRPr="00B90A24">
        <w:rPr>
          <w:sz w:val="28"/>
          <w:szCs w:val="28"/>
        </w:rPr>
        <w:t xml:space="preserve">OECD pillar one </w:t>
      </w:r>
      <w:r w:rsidR="005E56CC" w:rsidRPr="00B90A24">
        <w:rPr>
          <w:sz w:val="28"/>
          <w:szCs w:val="28"/>
        </w:rPr>
        <w:t>proposal</w:t>
      </w:r>
      <w:r w:rsidR="00FE1014" w:rsidRPr="00B90A24">
        <w:rPr>
          <w:sz w:val="28"/>
          <w:szCs w:val="28"/>
        </w:rPr>
        <w:t xml:space="preserve"> under the BEPS 2.0 process</w:t>
      </w:r>
      <w:r w:rsidR="005E56CC" w:rsidRPr="00B90A24">
        <w:rPr>
          <w:sz w:val="28"/>
          <w:szCs w:val="28"/>
        </w:rPr>
        <w:t xml:space="preserve"> to reallocate taxing rights to market jurisdictions indicate</w:t>
      </w:r>
      <w:r w:rsidR="00F40814" w:rsidRPr="00B90A24">
        <w:rPr>
          <w:sz w:val="28"/>
          <w:szCs w:val="28"/>
        </w:rPr>
        <w:t>s</w:t>
      </w:r>
      <w:r w:rsidR="005E56CC" w:rsidRPr="00B90A24">
        <w:rPr>
          <w:sz w:val="28"/>
          <w:szCs w:val="28"/>
        </w:rPr>
        <w:t xml:space="preserve"> </w:t>
      </w:r>
      <w:r w:rsidR="00462EFC" w:rsidRPr="00B90A24">
        <w:rPr>
          <w:sz w:val="28"/>
          <w:szCs w:val="28"/>
        </w:rPr>
        <w:t xml:space="preserve">little benefit to non-OECD countries and </w:t>
      </w:r>
      <w:r w:rsidR="00F40814" w:rsidRPr="00B90A24">
        <w:rPr>
          <w:sz w:val="28"/>
          <w:szCs w:val="28"/>
        </w:rPr>
        <w:t xml:space="preserve">may </w:t>
      </w:r>
      <w:r w:rsidR="00462EFC" w:rsidRPr="00B90A24">
        <w:rPr>
          <w:sz w:val="28"/>
          <w:szCs w:val="28"/>
        </w:rPr>
        <w:t>even</w:t>
      </w:r>
      <w:r w:rsidR="00F40814" w:rsidRPr="00B90A24">
        <w:rPr>
          <w:sz w:val="28"/>
          <w:szCs w:val="28"/>
        </w:rPr>
        <w:t xml:space="preserve"> result in</w:t>
      </w:r>
      <w:r w:rsidR="00462EFC" w:rsidRPr="00B90A24">
        <w:rPr>
          <w:sz w:val="28"/>
          <w:szCs w:val="28"/>
        </w:rPr>
        <w:t xml:space="preserve"> reduced revenues compared to the </w:t>
      </w:r>
      <w:r w:rsidR="00F40814" w:rsidRPr="00B90A24">
        <w:rPr>
          <w:sz w:val="28"/>
          <w:szCs w:val="28"/>
        </w:rPr>
        <w:t>current standing</w:t>
      </w:r>
      <w:r w:rsidR="00462EFC" w:rsidRPr="00B90A24">
        <w:rPr>
          <w:sz w:val="28"/>
          <w:szCs w:val="28"/>
        </w:rPr>
        <w:t xml:space="preserve"> for </w:t>
      </w:r>
      <w:r w:rsidR="00A479EA" w:rsidRPr="00B90A24">
        <w:rPr>
          <w:sz w:val="28"/>
          <w:szCs w:val="28"/>
        </w:rPr>
        <w:t xml:space="preserve">a number of lower income countries </w:t>
      </w:r>
      <w:r w:rsidR="00A479EA" w:rsidRPr="00B90A24">
        <w:rPr>
          <w:sz w:val="28"/>
          <w:szCs w:val="28"/>
        </w:rPr>
        <w:fldChar w:fldCharType="begin"/>
      </w:r>
      <w:r w:rsidR="00B133DE" w:rsidRPr="00B90A24">
        <w:rPr>
          <w:sz w:val="28"/>
          <w:szCs w:val="28"/>
        </w:rPr>
        <w:instrText xml:space="preserve"> ADDIN ZOTERO_ITEM CSL_CITATION {"citationID":"a2j43n5gvsa","properties":{"formattedCitation":"(Cobham et al., 2019)","plainCitation":"(Cobham et al., 2019)","noteIndex":0},"citationItems":[{"id":"LppWUde1/0npLi01H","uris":["http://zotero.org/users/1521920/items/G4UV2KR3"],"uri":["http://zotero.org/users/1521920/items/G4UV2KR3"],"itemData":{"id":35444,"type":"article-journal","abstract":"The current OECD process to reform the international rules governing corporate tax, aimed to achieve a consensus solution by 2020, has finally recognised the need to introduce elements of formulary apportionment to allocate the profits of multinationals and is framed explicitly in terms of redistributing taxing rights between countries. In this paper we provide the first public evaluation of the redistribution of taxing rights associated with the leading proposals of the OECD, IMF and the Independent Commission for the Reform of International Corporate Taxation (ICRICT). The first key finding is that that reallocation of taxing rights towards “market jurisdictions”, as it is currently understood, is likely to be of little benefit to non-OECD countries. Indeed, the proposal is likely to reduce revenues for a range of lower-income countries. Second, all of the proposals deliver a much broader distribution of benefits if some element of taxing rights is apportioned according to the location of multinationals’ employment, and not only of sales.","language":"en","page":"26","source":"Zotero","title":"An early evaluation of the OECD tax reform proposals","URL":"https://osf.io/preprints/socarxiv/j3p48/download","author":[{"family":"Cobham","given":"Alex"},{"family":"Faccio","given":"Tommaso"},{"family":"FitzGerald, Valpy","given":""}],"accessed":{"date-parts":[["2020",6,11]]},"issued":{"date-parts":[["2019"]]}}}],"schema":"https://github.com/citation-style-language/schema/raw/master/csl-citation.json"} </w:instrText>
      </w:r>
      <w:r w:rsidR="00A479EA" w:rsidRPr="00B90A24">
        <w:rPr>
          <w:sz w:val="28"/>
          <w:szCs w:val="28"/>
        </w:rPr>
        <w:fldChar w:fldCharType="separate"/>
      </w:r>
      <w:r w:rsidR="00B133DE" w:rsidRPr="00B90A24">
        <w:rPr>
          <w:rFonts w:cs="Times New Roman"/>
          <w:sz w:val="28"/>
          <w:szCs w:val="28"/>
        </w:rPr>
        <w:t>(Cobham et al., 2019)</w:t>
      </w:r>
      <w:r w:rsidR="00A479EA" w:rsidRPr="00B90A24">
        <w:rPr>
          <w:sz w:val="28"/>
          <w:szCs w:val="28"/>
        </w:rPr>
        <w:fldChar w:fldCharType="end"/>
      </w:r>
      <w:r w:rsidR="00A479EA" w:rsidRPr="00B90A24">
        <w:rPr>
          <w:sz w:val="28"/>
          <w:szCs w:val="28"/>
        </w:rPr>
        <w:t>.</w:t>
      </w:r>
    </w:p>
    <w:p w14:paraId="09BEEC43" w14:textId="77777777" w:rsidR="00783A4C" w:rsidRPr="00B90A24" w:rsidRDefault="00783A4C" w:rsidP="00B90A24">
      <w:pPr>
        <w:spacing w:after="0" w:line="240" w:lineRule="auto"/>
        <w:ind w:left="426" w:right="890"/>
        <w:jc w:val="both"/>
        <w:rPr>
          <w:sz w:val="28"/>
          <w:szCs w:val="28"/>
        </w:rPr>
      </w:pPr>
    </w:p>
    <w:p w14:paraId="3812524D" w14:textId="13FEE41C" w:rsidR="00B1575B" w:rsidRPr="00B90A24" w:rsidRDefault="00AF60AC" w:rsidP="00B90A24">
      <w:pPr>
        <w:spacing w:after="0" w:line="240" w:lineRule="auto"/>
        <w:ind w:left="426" w:right="890"/>
        <w:jc w:val="both"/>
        <w:rPr>
          <w:sz w:val="28"/>
          <w:szCs w:val="28"/>
        </w:rPr>
      </w:pPr>
      <w:r w:rsidRPr="00B90A24">
        <w:rPr>
          <w:sz w:val="28"/>
          <w:szCs w:val="28"/>
        </w:rPr>
        <w:t xml:space="preserve">In these negotiations under the Inclusive Framework, unitary taxation with formulary apportionment has become the leading alternative to the arm’s length approach to taxing the digital, if not the entire economy. </w:t>
      </w:r>
      <w:r w:rsidR="00874C9D" w:rsidRPr="00B90A24">
        <w:rPr>
          <w:sz w:val="28"/>
          <w:szCs w:val="28"/>
        </w:rPr>
        <w:t>T</w:t>
      </w:r>
      <w:r w:rsidRPr="00B90A24">
        <w:rPr>
          <w:sz w:val="28"/>
          <w:szCs w:val="28"/>
        </w:rPr>
        <w:t>he unitary approach is arguably the most promising alternative to replace the current global tax rules which have not kept up with the globalised or digital</w:t>
      </w:r>
      <w:r w:rsidR="00F40814" w:rsidRPr="00B90A24">
        <w:rPr>
          <w:sz w:val="28"/>
          <w:szCs w:val="28"/>
        </w:rPr>
        <w:t>ised</w:t>
      </w:r>
      <w:r w:rsidRPr="00B90A24">
        <w:rPr>
          <w:sz w:val="28"/>
          <w:szCs w:val="28"/>
        </w:rPr>
        <w:t xml:space="preserve"> economy and have </w:t>
      </w:r>
      <w:r w:rsidRPr="00B90A24">
        <w:rPr>
          <w:sz w:val="28"/>
          <w:szCs w:val="28"/>
        </w:rPr>
        <w:lastRenderedPageBreak/>
        <w:t>resulted in vast profit shifting and base erosion. Due to the arm’s length approach, there is massive misalignment between the location of multinational companies’ genuine economic activity and where their profits are declared for tax purposes</w:t>
      </w:r>
      <w:r w:rsidR="00E81898" w:rsidRPr="00B90A24">
        <w:rPr>
          <w:sz w:val="28"/>
          <w:szCs w:val="28"/>
        </w:rPr>
        <w:t xml:space="preserve"> </w:t>
      </w:r>
      <w:r w:rsidRPr="00B90A24">
        <w:rPr>
          <w:sz w:val="28"/>
          <w:szCs w:val="28"/>
        </w:rPr>
        <w:fldChar w:fldCharType="begin"/>
      </w:r>
      <w:r w:rsidR="00500851" w:rsidRPr="00B90A24">
        <w:rPr>
          <w:sz w:val="28"/>
          <w:szCs w:val="28"/>
        </w:rPr>
        <w:instrText xml:space="preserve"> ADDIN ZOTERO_ITEM CSL_CITATION {"citationID":"JOlnsDEQ","properties":{"formattedCitation":"(Cobham, 2017)","plainCitation":"(Cobham, 2017)","noteIndex":0},"citationItems":[{"id":4306,"uris":["http://zotero.org/groups/997303/items/G79WNU9W"],"uri":["http://zotero.org/groups/997303/items/G79WNU9W"],"itemData":{"id":4306,"type":"report","genre":"Tax Justice Network Briefing","publisher":"Tax Justice Network","title":"Tax avoidance and evasion - The scale of the problem","URL":"https://taxjustice.wpengine.com/wp-content/uploads/2017/11/Tax-dodging-the-scale-of-the-problem-TJN-Briefing.pdf","author":[{"family":"Cobham","given":"Alex"}],"accessed":{"date-parts":[["2019",6,7]]},"issued":{"date-parts":[["2017",11]]}}}],"schema":"https://github.com/citation-style-language/schema/raw/master/csl-citation.json"} </w:instrText>
      </w:r>
      <w:r w:rsidRPr="00B90A24">
        <w:rPr>
          <w:sz w:val="28"/>
          <w:szCs w:val="28"/>
        </w:rPr>
        <w:fldChar w:fldCharType="separate"/>
      </w:r>
      <w:r w:rsidR="00B133DE" w:rsidRPr="00B90A24">
        <w:rPr>
          <w:rFonts w:cs="Times New Roman"/>
          <w:sz w:val="28"/>
          <w:szCs w:val="28"/>
        </w:rPr>
        <w:t>(Cobham, 2017)</w:t>
      </w:r>
      <w:r w:rsidRPr="00B90A24">
        <w:rPr>
          <w:sz w:val="28"/>
          <w:szCs w:val="28"/>
        </w:rPr>
        <w:fldChar w:fldCharType="end"/>
      </w:r>
      <w:r w:rsidR="00E81898" w:rsidRPr="00B90A24">
        <w:rPr>
          <w:sz w:val="28"/>
          <w:szCs w:val="28"/>
        </w:rPr>
        <w:t>.</w:t>
      </w:r>
      <w:r w:rsidRPr="00B90A24">
        <w:rPr>
          <w:sz w:val="28"/>
          <w:szCs w:val="28"/>
        </w:rPr>
        <w:t xml:space="preserve"> </w:t>
      </w:r>
      <w:r w:rsidR="00285844" w:rsidRPr="00B90A24">
        <w:rPr>
          <w:sz w:val="28"/>
          <w:szCs w:val="28"/>
        </w:rPr>
        <w:t>T</w:t>
      </w:r>
      <w:r w:rsidRPr="00B90A24">
        <w:rPr>
          <w:sz w:val="28"/>
          <w:szCs w:val="28"/>
        </w:rPr>
        <w:t xml:space="preserve">he unitary approach has the potential to vastly improve the taxing rights of African </w:t>
      </w:r>
      <w:r w:rsidR="00B1575B" w:rsidRPr="00B90A24">
        <w:rPr>
          <w:sz w:val="28"/>
          <w:szCs w:val="28"/>
        </w:rPr>
        <w:t xml:space="preserve">countries </w:t>
      </w:r>
      <w:r w:rsidRPr="00B90A24">
        <w:rPr>
          <w:sz w:val="28"/>
          <w:szCs w:val="28"/>
        </w:rPr>
        <w:t xml:space="preserve">if the factors for apportioning </w:t>
      </w:r>
      <w:r w:rsidR="00F40814" w:rsidRPr="00B90A24">
        <w:rPr>
          <w:sz w:val="28"/>
          <w:szCs w:val="28"/>
        </w:rPr>
        <w:t xml:space="preserve">the </w:t>
      </w:r>
      <w:r w:rsidRPr="00B90A24">
        <w:rPr>
          <w:sz w:val="28"/>
          <w:szCs w:val="28"/>
        </w:rPr>
        <w:t>profits of a multinational corporation take into account not only sales and consumption, but also production and employment</w:t>
      </w:r>
      <w:r w:rsidR="00285844" w:rsidRPr="00B90A24">
        <w:rPr>
          <w:sz w:val="28"/>
          <w:szCs w:val="28"/>
        </w:rPr>
        <w:t>. However</w:t>
      </w:r>
      <w:r w:rsidR="007D02FD" w:rsidRPr="00B90A24">
        <w:rPr>
          <w:sz w:val="28"/>
          <w:szCs w:val="28"/>
        </w:rPr>
        <w:t xml:space="preserve">, these more ambitious proposals have been </w:t>
      </w:r>
      <w:r w:rsidR="00A5268E" w:rsidRPr="00B90A24">
        <w:rPr>
          <w:sz w:val="28"/>
          <w:szCs w:val="28"/>
        </w:rPr>
        <w:t xml:space="preserve">ignored and replaced by </w:t>
      </w:r>
      <w:r w:rsidR="00EC2A54" w:rsidRPr="00B90A24">
        <w:rPr>
          <w:sz w:val="28"/>
          <w:szCs w:val="28"/>
        </w:rPr>
        <w:t xml:space="preserve">an agreement reached in an exclusive manner between the US and France </w:t>
      </w:r>
      <w:r w:rsidR="00EC2A54" w:rsidRPr="00B90A24">
        <w:rPr>
          <w:sz w:val="28"/>
          <w:szCs w:val="28"/>
        </w:rPr>
        <w:fldChar w:fldCharType="begin"/>
      </w:r>
      <w:r w:rsidR="00B133DE" w:rsidRPr="00B90A24">
        <w:rPr>
          <w:sz w:val="28"/>
          <w:szCs w:val="28"/>
        </w:rPr>
        <w:instrText xml:space="preserve"> ADDIN ZOTERO_ITEM CSL_CITATION {"citationID":"a1r3hq6avej","properties":{"formattedCitation":"(Cobham, 2020b)","plainCitation":"(Cobham, 2020b)","noteIndex":0},"citationItems":[{"id":5616,"uris":["http://zotero.org/groups/997303/items/ISTDQNG7"],"uri":["http://zotero.org/groups/997303/items/ISTDQNG7"],"itemData":{"id":5616,"type":"post-weblog","abstract":"The OECD secretariat obtained agreement from the Inclusive Framework to press ahead with its own proposals, following US-French agreement of sorts - but at what price for the organisation's legitimacy, and the future of international tax rules?","container-title":"Tax Justice Network","language":"en-GB","note":"source: www.taxjustice.net","title":"A Pyrrhic victory for the OECD?","URL":"https://www.taxjustice.net/2020/01/31/a-pyrrhic-victory-for-the-oecd/, https://www.taxjustice.net/2020/01/31/a-pyrrhic-victory-for-the-oecd/","author":[{"family":"Cobham","given":"Alex"}],"accessed":{"date-parts":[["2020",4,16]]},"issued":{"date-parts":[["2020",1,31]]}}}],"schema":"https://github.com/citation-style-language/schema/raw/master/csl-citation.json"} </w:instrText>
      </w:r>
      <w:r w:rsidR="00EC2A54" w:rsidRPr="00B90A24">
        <w:rPr>
          <w:sz w:val="28"/>
          <w:szCs w:val="28"/>
        </w:rPr>
        <w:fldChar w:fldCharType="separate"/>
      </w:r>
      <w:r w:rsidR="00B133DE" w:rsidRPr="00B90A24">
        <w:rPr>
          <w:rFonts w:cs="Times New Roman"/>
          <w:sz w:val="28"/>
          <w:szCs w:val="28"/>
        </w:rPr>
        <w:t>(Cobham, 2020b)</w:t>
      </w:r>
      <w:r w:rsidR="00EC2A54" w:rsidRPr="00B90A24">
        <w:rPr>
          <w:sz w:val="28"/>
          <w:szCs w:val="28"/>
        </w:rPr>
        <w:fldChar w:fldCharType="end"/>
      </w:r>
      <w:r w:rsidR="00EC2A54" w:rsidRPr="00B90A24">
        <w:rPr>
          <w:sz w:val="28"/>
          <w:szCs w:val="28"/>
        </w:rPr>
        <w:t>.</w:t>
      </w:r>
      <w:r w:rsidR="002F6EE1" w:rsidRPr="00B90A24">
        <w:rPr>
          <w:sz w:val="28"/>
          <w:szCs w:val="28"/>
        </w:rPr>
        <w:t xml:space="preserve"> </w:t>
      </w:r>
    </w:p>
    <w:p w14:paraId="79D74088" w14:textId="77777777" w:rsidR="00783A4C" w:rsidRPr="00B90A24" w:rsidRDefault="00783A4C" w:rsidP="00B90A24">
      <w:pPr>
        <w:spacing w:after="0" w:line="240" w:lineRule="auto"/>
        <w:ind w:left="426" w:right="890"/>
        <w:jc w:val="both"/>
        <w:rPr>
          <w:sz w:val="28"/>
          <w:szCs w:val="28"/>
        </w:rPr>
      </w:pPr>
    </w:p>
    <w:p w14:paraId="588CB869" w14:textId="71DDD110" w:rsidR="00787E15" w:rsidRPr="00B90A24" w:rsidRDefault="00B1575B" w:rsidP="00B90A24">
      <w:pPr>
        <w:spacing w:after="0" w:line="240" w:lineRule="auto"/>
        <w:ind w:left="426" w:right="890"/>
        <w:jc w:val="both"/>
        <w:rPr>
          <w:sz w:val="28"/>
          <w:szCs w:val="28"/>
        </w:rPr>
      </w:pPr>
      <w:r w:rsidRPr="00B90A24">
        <w:rPr>
          <w:sz w:val="28"/>
          <w:szCs w:val="28"/>
        </w:rPr>
        <w:t>T</w:t>
      </w:r>
      <w:r w:rsidR="002F6EE1" w:rsidRPr="00B90A24">
        <w:rPr>
          <w:sz w:val="28"/>
          <w:szCs w:val="28"/>
        </w:rPr>
        <w:t>o prevent</w:t>
      </w:r>
      <w:r w:rsidR="00410AF6" w:rsidRPr="00B90A24">
        <w:rPr>
          <w:sz w:val="28"/>
          <w:szCs w:val="28"/>
        </w:rPr>
        <w:t xml:space="preserve"> and pre-empt</w:t>
      </w:r>
      <w:r w:rsidR="002F6EE1" w:rsidRPr="00B90A24">
        <w:rPr>
          <w:sz w:val="28"/>
          <w:szCs w:val="28"/>
        </w:rPr>
        <w:t xml:space="preserve"> jurisdictions competing for the relocation of multinational activity </w:t>
      </w:r>
      <w:r w:rsidR="00F40814" w:rsidRPr="00B90A24">
        <w:rPr>
          <w:sz w:val="28"/>
          <w:szCs w:val="28"/>
        </w:rPr>
        <w:t>by</w:t>
      </w:r>
      <w:r w:rsidR="002F6EE1" w:rsidRPr="00B90A24">
        <w:rPr>
          <w:sz w:val="28"/>
          <w:szCs w:val="28"/>
        </w:rPr>
        <w:t xml:space="preserve"> reducing corporate tax rates and the accompanied distortionary effects, global formulary apportionment would be best served with a minimum rate for taxing apportioned profits</w:t>
      </w:r>
      <w:r w:rsidRPr="00B90A24">
        <w:rPr>
          <w:sz w:val="28"/>
          <w:szCs w:val="28"/>
        </w:rPr>
        <w:t xml:space="preserve"> </w:t>
      </w:r>
      <w:r w:rsidRPr="00B90A24">
        <w:rPr>
          <w:sz w:val="28"/>
          <w:szCs w:val="28"/>
        </w:rPr>
        <w:fldChar w:fldCharType="begin"/>
      </w:r>
      <w:r w:rsidR="00B133DE" w:rsidRPr="00B90A24">
        <w:rPr>
          <w:sz w:val="28"/>
          <w:szCs w:val="28"/>
        </w:rPr>
        <w:instrText xml:space="preserve"> ADDIN ZOTERO_ITEM CSL_CITATION {"citationID":"aa6p37tipp","properties":{"formattedCitation":"\\uldash{(Independent Commission for the Reform of International Corporate (ICRICT) &amp; Taxation, 2018, p. 8)}","plainCitation":"(Independent Commission for the Reform of International Corporate (ICRICT) &amp; Taxation, 2018, p. 8)","dontUpdate":true,"noteIndex":0},"citationItems":[{"id":"LppWUde1/32zuvi4t","uris":["http://zotero.org/users/1521920/items/U66636YL"],"uri":["http://zotero.org/users/1521920/items/U66636YL"],"itemData":{"id":"ebOnMlYO/sRE4W9bR","type":"report","title":"A Roadmap To Improve Rules for Taxing Multinationals. A Fairer Future For Global Taxation","URL":"https://static1.squarespace.com/static/5a0c602bf43b5594845abb81/t/5a78e6909140b73efc08eab6/1517872798080/ICRICT+Unitary+Taxation+Eng+Feb2018.pdf","author":[{"literal":"Independent Commission for the Reform of International Corporate (ICRICT)"},{"literal":"Taxation"}],"accessed":{"date-parts":[["2018",2,21]]},"issued":{"date-parts":[["2018"]]}},"locator":"8"}],"schema":"https://github.com/citation-style-language/schema/raw/master/csl-citation.json"} </w:instrText>
      </w:r>
      <w:r w:rsidRPr="00B90A24">
        <w:rPr>
          <w:sz w:val="28"/>
          <w:szCs w:val="28"/>
        </w:rPr>
        <w:fldChar w:fldCharType="separate"/>
      </w:r>
      <w:r w:rsidRPr="00B90A24">
        <w:rPr>
          <w:rFonts w:cs="Times New Roman"/>
          <w:sz w:val="28"/>
          <w:szCs w:val="28"/>
        </w:rPr>
        <w:t>(ICRICT, 2018, p. 8)</w:t>
      </w:r>
      <w:r w:rsidRPr="00B90A24">
        <w:rPr>
          <w:sz w:val="28"/>
          <w:szCs w:val="28"/>
        </w:rPr>
        <w:fldChar w:fldCharType="end"/>
      </w:r>
      <w:r w:rsidR="002F6EE1" w:rsidRPr="00B90A24">
        <w:rPr>
          <w:sz w:val="28"/>
          <w:szCs w:val="28"/>
        </w:rPr>
        <w:t>.</w:t>
      </w:r>
      <w:r w:rsidR="00712145" w:rsidRPr="00B90A24">
        <w:rPr>
          <w:sz w:val="28"/>
          <w:szCs w:val="28"/>
        </w:rPr>
        <w:t xml:space="preserve"> </w:t>
      </w:r>
      <w:r w:rsidR="00C13B87" w:rsidRPr="00B90A24">
        <w:rPr>
          <w:sz w:val="28"/>
          <w:szCs w:val="28"/>
        </w:rPr>
        <w:t xml:space="preserve">Pillar two of the current OECD BEPS 2.0 reform </w:t>
      </w:r>
      <w:r w:rsidR="008054D7" w:rsidRPr="00B90A24">
        <w:rPr>
          <w:sz w:val="28"/>
          <w:szCs w:val="28"/>
        </w:rPr>
        <w:t xml:space="preserve">proposals </w:t>
      </w:r>
      <w:r w:rsidR="00C13B87" w:rsidRPr="00B90A24">
        <w:rPr>
          <w:sz w:val="28"/>
          <w:szCs w:val="28"/>
        </w:rPr>
        <w:t>endeavours</w:t>
      </w:r>
      <w:r w:rsidR="00141EC4" w:rsidRPr="00B90A24">
        <w:rPr>
          <w:sz w:val="28"/>
          <w:szCs w:val="28"/>
        </w:rPr>
        <w:t xml:space="preserve"> to establish</w:t>
      </w:r>
      <w:r w:rsidRPr="00B90A24">
        <w:rPr>
          <w:sz w:val="28"/>
          <w:szCs w:val="28"/>
        </w:rPr>
        <w:t xml:space="preserve"> such</w:t>
      </w:r>
      <w:r w:rsidR="00141EC4" w:rsidRPr="00B90A24">
        <w:rPr>
          <w:sz w:val="28"/>
          <w:szCs w:val="28"/>
        </w:rPr>
        <w:t xml:space="preserve"> a global </w:t>
      </w:r>
      <w:r w:rsidR="00C11DCA" w:rsidRPr="00B90A24">
        <w:rPr>
          <w:sz w:val="28"/>
          <w:szCs w:val="28"/>
        </w:rPr>
        <w:t xml:space="preserve">minimum rate. Yet the approach taken is highly complex and fraught with similar challenges for lower income countries as pillar one. </w:t>
      </w:r>
      <w:r w:rsidR="00B50DBE" w:rsidRPr="00B90A24">
        <w:rPr>
          <w:sz w:val="28"/>
          <w:szCs w:val="28"/>
        </w:rPr>
        <w:t>The effectiveness</w:t>
      </w:r>
      <w:r w:rsidRPr="00B90A24">
        <w:rPr>
          <w:sz w:val="28"/>
          <w:szCs w:val="28"/>
        </w:rPr>
        <w:t xml:space="preserve"> of rules</w:t>
      </w:r>
      <w:r w:rsidR="00B50DBE" w:rsidRPr="00B90A24">
        <w:rPr>
          <w:sz w:val="28"/>
          <w:szCs w:val="28"/>
        </w:rPr>
        <w:t xml:space="preserve"> </w:t>
      </w:r>
      <w:r w:rsidR="00032BEE" w:rsidRPr="00B90A24">
        <w:rPr>
          <w:sz w:val="28"/>
          <w:szCs w:val="28"/>
        </w:rPr>
        <w:t xml:space="preserve">would depend on the feasibility of devising a robust </w:t>
      </w:r>
      <w:r w:rsidR="00AF15ED" w:rsidRPr="00B90A24">
        <w:rPr>
          <w:sz w:val="28"/>
          <w:szCs w:val="28"/>
        </w:rPr>
        <w:t xml:space="preserve">and unambiguous effective tax rate test and might </w:t>
      </w:r>
      <w:r w:rsidR="00B50DBE" w:rsidRPr="00B90A24">
        <w:rPr>
          <w:sz w:val="28"/>
          <w:szCs w:val="28"/>
        </w:rPr>
        <w:t xml:space="preserve">“hinge </w:t>
      </w:r>
      <w:r w:rsidR="00AF15ED" w:rsidRPr="00B90A24">
        <w:rPr>
          <w:sz w:val="28"/>
          <w:szCs w:val="28"/>
        </w:rPr>
        <w:t xml:space="preserve">ultimately </w:t>
      </w:r>
      <w:r w:rsidR="002030AB" w:rsidRPr="00B90A24">
        <w:rPr>
          <w:sz w:val="28"/>
          <w:szCs w:val="28"/>
        </w:rPr>
        <w:t xml:space="preserve">to a large extent upon administrative capacity in the jurisdiction that wishes to challenge low taxation in another state” </w:t>
      </w:r>
      <w:r w:rsidR="00787E15" w:rsidRPr="00B90A24">
        <w:rPr>
          <w:sz w:val="28"/>
          <w:szCs w:val="28"/>
        </w:rPr>
        <w:fldChar w:fldCharType="begin"/>
      </w:r>
      <w:r w:rsidR="00A06D6C" w:rsidRPr="00B90A24">
        <w:rPr>
          <w:sz w:val="28"/>
          <w:szCs w:val="28"/>
        </w:rPr>
        <w:instrText xml:space="preserve"> ADDIN ZOTERO_ITEM CSL_CITATION {"citationID":"a2mink9pfsl","properties":{"formattedCitation":"(Tax Justice Network, 2019a, pp. 9\\uc0\\u8211{}11)","plainCitation":"(Tax Justice Network, 2019a, pp. 9–11)","noteIndex":0},"citationItems":[{"id":3768,"uris":["http://zotero.org/groups/997303/items/KGRDWEY7"],"uri":["http://zotero.org/groups/997303/items/KGRDWEY7"],"itemData":{"id":3768,"type":"report","title":"Consultation Response to OECD's consultation \"addressing the tax challenges of the digitalisation of the economy\"","URL":"https://www.oecd-ilibrary.org/docserver/a07f9958-en.pdf?expires=1554297852&amp;id=id&amp;accname=guest&amp;checksum=09CBD5891A2C3B7E7759E3B312D574F6","author":[{"family":"Tax Justice Network","given":""}],"accessed":{"date-parts":[["2019",4,3]]},"issued":{"date-parts":[["2019"]]}},"locator":"9-11"}],"schema":"https://github.com/citation-style-language/schema/raw/master/csl-citation.json"} </w:instrText>
      </w:r>
      <w:r w:rsidR="00787E15" w:rsidRPr="00B90A24">
        <w:rPr>
          <w:sz w:val="28"/>
          <w:szCs w:val="28"/>
        </w:rPr>
        <w:fldChar w:fldCharType="separate"/>
      </w:r>
      <w:r w:rsidR="00B133DE" w:rsidRPr="00B90A24">
        <w:rPr>
          <w:rFonts w:cs="Times New Roman"/>
          <w:sz w:val="28"/>
          <w:szCs w:val="28"/>
        </w:rPr>
        <w:t>(Tax Justice Network, 2019a, pp. 9–11)</w:t>
      </w:r>
      <w:r w:rsidR="00787E15" w:rsidRPr="00B90A24">
        <w:rPr>
          <w:sz w:val="28"/>
          <w:szCs w:val="28"/>
        </w:rPr>
        <w:fldChar w:fldCharType="end"/>
      </w:r>
      <w:r w:rsidR="00682DF9" w:rsidRPr="00B90A24">
        <w:rPr>
          <w:sz w:val="28"/>
          <w:szCs w:val="28"/>
        </w:rPr>
        <w:t>.</w:t>
      </w:r>
      <w:r w:rsidR="00421C93" w:rsidRPr="00B90A24">
        <w:rPr>
          <w:sz w:val="28"/>
          <w:szCs w:val="28"/>
        </w:rPr>
        <w:t xml:space="preserve"> Due to the likely ambiguity</w:t>
      </w:r>
      <w:r w:rsidRPr="00B90A24">
        <w:rPr>
          <w:sz w:val="28"/>
          <w:szCs w:val="28"/>
        </w:rPr>
        <w:t xml:space="preserve"> of an effective tax rate test</w:t>
      </w:r>
      <w:r w:rsidR="00421C93" w:rsidRPr="00B90A24">
        <w:rPr>
          <w:sz w:val="28"/>
          <w:szCs w:val="28"/>
        </w:rPr>
        <w:t xml:space="preserve">, there is a risk </w:t>
      </w:r>
      <w:r w:rsidRPr="00B90A24">
        <w:rPr>
          <w:sz w:val="28"/>
          <w:szCs w:val="28"/>
        </w:rPr>
        <w:t>of</w:t>
      </w:r>
      <w:r w:rsidR="00421C93" w:rsidRPr="00B90A24">
        <w:rPr>
          <w:sz w:val="28"/>
          <w:szCs w:val="28"/>
        </w:rPr>
        <w:t xml:space="preserve"> </w:t>
      </w:r>
      <w:r w:rsidR="00C73BA2" w:rsidRPr="00B90A24">
        <w:rPr>
          <w:sz w:val="28"/>
          <w:szCs w:val="28"/>
        </w:rPr>
        <w:t xml:space="preserve">low taxation resulting from </w:t>
      </w:r>
      <w:r w:rsidR="00421C93" w:rsidRPr="00B90A24">
        <w:rPr>
          <w:sz w:val="28"/>
          <w:szCs w:val="28"/>
        </w:rPr>
        <w:t xml:space="preserve">harmful tax regimes </w:t>
      </w:r>
      <w:r w:rsidR="00F40814" w:rsidRPr="00B90A24">
        <w:rPr>
          <w:sz w:val="28"/>
          <w:szCs w:val="28"/>
        </w:rPr>
        <w:t xml:space="preserve">being </w:t>
      </w:r>
      <w:r w:rsidR="00051258" w:rsidRPr="00B90A24">
        <w:rPr>
          <w:sz w:val="28"/>
          <w:szCs w:val="28"/>
        </w:rPr>
        <w:t xml:space="preserve">detected and countered </w:t>
      </w:r>
      <w:r w:rsidR="00421C93" w:rsidRPr="00B90A24">
        <w:rPr>
          <w:sz w:val="28"/>
          <w:szCs w:val="28"/>
        </w:rPr>
        <w:t>mainly in lower income countries</w:t>
      </w:r>
      <w:r w:rsidR="008B2C48" w:rsidRPr="00B90A24">
        <w:rPr>
          <w:sz w:val="28"/>
          <w:szCs w:val="28"/>
        </w:rPr>
        <w:t>, while leaving more sophisticated corporate tax havens alone</w:t>
      </w:r>
      <w:r w:rsidR="00C73BA2" w:rsidRPr="00B90A24">
        <w:rPr>
          <w:sz w:val="28"/>
          <w:szCs w:val="28"/>
        </w:rPr>
        <w:t>.</w:t>
      </w:r>
    </w:p>
    <w:p w14:paraId="02089F0D" w14:textId="77777777" w:rsidR="00783A4C" w:rsidRPr="00B90A24" w:rsidRDefault="00783A4C" w:rsidP="00B90A24">
      <w:pPr>
        <w:spacing w:after="0" w:line="240" w:lineRule="auto"/>
        <w:ind w:left="426" w:right="890"/>
        <w:jc w:val="both"/>
        <w:rPr>
          <w:sz w:val="28"/>
          <w:szCs w:val="28"/>
        </w:rPr>
      </w:pPr>
    </w:p>
    <w:p w14:paraId="36357C76" w14:textId="5EB8459D" w:rsidR="00783A4C" w:rsidRPr="00B90A24" w:rsidRDefault="00AF60AC" w:rsidP="00B90A24">
      <w:pPr>
        <w:spacing w:after="0" w:line="240" w:lineRule="auto"/>
        <w:ind w:left="426" w:right="890"/>
        <w:jc w:val="both"/>
        <w:rPr>
          <w:sz w:val="28"/>
          <w:szCs w:val="28"/>
        </w:rPr>
      </w:pPr>
      <w:r w:rsidRPr="00B90A24">
        <w:rPr>
          <w:sz w:val="28"/>
          <w:szCs w:val="28"/>
        </w:rPr>
        <w:t xml:space="preserve">Earlier attempts to introduce unitary taxation, first at the League of Nations almost </w:t>
      </w:r>
      <w:r w:rsidR="00F40814" w:rsidRPr="00B90A24">
        <w:rPr>
          <w:sz w:val="28"/>
          <w:szCs w:val="28"/>
        </w:rPr>
        <w:t>a century ago</w:t>
      </w:r>
      <w:r w:rsidRPr="00B90A24">
        <w:rPr>
          <w:sz w:val="28"/>
          <w:szCs w:val="28"/>
        </w:rPr>
        <w:t xml:space="preserve"> were thwarted. At the </w:t>
      </w:r>
      <w:r w:rsidR="00352C1B" w:rsidRPr="00B90A24">
        <w:rPr>
          <w:sz w:val="28"/>
          <w:szCs w:val="28"/>
        </w:rPr>
        <w:t xml:space="preserve">first </w:t>
      </w:r>
      <w:r w:rsidRPr="00B90A24">
        <w:rPr>
          <w:sz w:val="28"/>
          <w:szCs w:val="28"/>
        </w:rPr>
        <w:t xml:space="preserve">OECD </w:t>
      </w:r>
      <w:r w:rsidR="00F40814" w:rsidRPr="00B90A24">
        <w:rPr>
          <w:sz w:val="28"/>
          <w:szCs w:val="28"/>
        </w:rPr>
        <w:t>BEPS</w:t>
      </w:r>
      <w:r w:rsidRPr="00B90A24">
        <w:rPr>
          <w:sz w:val="28"/>
          <w:szCs w:val="28"/>
        </w:rPr>
        <w:t xml:space="preserve"> project that commenced in 2013, this alternative was kept off the table by major actors insisting on applying and retaining the arm’s length principle</w:t>
      </w:r>
      <w:r w:rsidR="00E81898" w:rsidRPr="00B90A24">
        <w:rPr>
          <w:sz w:val="28"/>
          <w:szCs w:val="28"/>
        </w:rPr>
        <w:t xml:space="preserve"> </w:t>
      </w:r>
      <w:r w:rsidRPr="00B90A24">
        <w:rPr>
          <w:sz w:val="28"/>
          <w:szCs w:val="28"/>
        </w:rPr>
        <w:fldChar w:fldCharType="begin"/>
      </w:r>
      <w:r w:rsidR="00A06D6C" w:rsidRPr="00B90A24">
        <w:rPr>
          <w:sz w:val="28"/>
          <w:szCs w:val="28"/>
        </w:rPr>
        <w:instrText xml:space="preserve"> ADDIN ZOTERO_ITEM CSL_CITATION {"citationID":"apnr87ma62","properties":{"formattedCitation":"(Tax Justice Network, 2019a)","plainCitation":"(Tax Justice Network, 2019a)","noteIndex":0},"citationItems":[{"id":3768,"uris":["http://zotero.org/groups/997303/items/KGRDWEY7"],"uri":["http://zotero.org/groups/997303/items/KGRDWEY7"],"itemData":{"id":3768,"type":"report","title":"Consultation Response to OECD's consultation \"addressing the tax challenges of the digitalisation of the economy\"","URL":"https://www.oecd-ilibrary.org/docserver/a07f9958-en.pdf?expires=1554297852&amp;id=id&amp;accname=guest&amp;checksum=09CBD5891A2C3B7E7759E3B312D574F6","author":[{"family":"Tax Justice Network","given":""}],"accessed":{"date-parts":[["2019",4,3]]},"issued":{"date-parts":[["2019"]]}}}],"schema":"https://github.com/citation-style-language/schema/raw/master/csl-citation.json"} </w:instrText>
      </w:r>
      <w:r w:rsidRPr="00B90A24">
        <w:rPr>
          <w:sz w:val="28"/>
          <w:szCs w:val="28"/>
        </w:rPr>
        <w:fldChar w:fldCharType="separate"/>
      </w:r>
      <w:r w:rsidR="00B133DE" w:rsidRPr="00B90A24">
        <w:rPr>
          <w:rFonts w:cs="Times New Roman"/>
          <w:sz w:val="28"/>
          <w:szCs w:val="28"/>
        </w:rPr>
        <w:t>(Tax Justice Network, 2019a)</w:t>
      </w:r>
      <w:r w:rsidRPr="00B90A24">
        <w:rPr>
          <w:sz w:val="28"/>
          <w:szCs w:val="28"/>
        </w:rPr>
        <w:fldChar w:fldCharType="end"/>
      </w:r>
      <w:r w:rsidR="00E81898" w:rsidRPr="00B90A24">
        <w:rPr>
          <w:sz w:val="28"/>
          <w:szCs w:val="28"/>
        </w:rPr>
        <w:t>.</w:t>
      </w:r>
      <w:r w:rsidRPr="00B90A24">
        <w:rPr>
          <w:sz w:val="28"/>
          <w:szCs w:val="28"/>
        </w:rPr>
        <w:t xml:space="preserve"> There </w:t>
      </w:r>
      <w:r w:rsidR="00BF68F6" w:rsidRPr="00B90A24">
        <w:rPr>
          <w:sz w:val="28"/>
          <w:szCs w:val="28"/>
        </w:rPr>
        <w:t xml:space="preserve">are signs </w:t>
      </w:r>
      <w:r w:rsidRPr="00B90A24">
        <w:rPr>
          <w:sz w:val="28"/>
          <w:szCs w:val="28"/>
        </w:rPr>
        <w:t xml:space="preserve">that the interests of developing nations and the African continent </w:t>
      </w:r>
      <w:r w:rsidR="00BF68F6" w:rsidRPr="00B90A24">
        <w:rPr>
          <w:sz w:val="28"/>
          <w:szCs w:val="28"/>
        </w:rPr>
        <w:t xml:space="preserve">are </w:t>
      </w:r>
      <w:r w:rsidR="00B1575B" w:rsidRPr="00B90A24">
        <w:rPr>
          <w:sz w:val="28"/>
          <w:szCs w:val="28"/>
        </w:rPr>
        <w:t xml:space="preserve">being </w:t>
      </w:r>
      <w:r w:rsidRPr="00B90A24">
        <w:rPr>
          <w:sz w:val="28"/>
          <w:szCs w:val="28"/>
        </w:rPr>
        <w:t>undermined once again</w:t>
      </w:r>
      <w:r w:rsidR="00D60B2C" w:rsidRPr="00B90A24">
        <w:rPr>
          <w:sz w:val="28"/>
          <w:szCs w:val="28"/>
        </w:rPr>
        <w:t xml:space="preserve"> </w:t>
      </w:r>
      <w:r w:rsidR="00FE4386" w:rsidRPr="00B90A24">
        <w:rPr>
          <w:sz w:val="28"/>
          <w:szCs w:val="28"/>
        </w:rPr>
        <w:t>under BEPS 2.0</w:t>
      </w:r>
      <w:r w:rsidRPr="00B90A24">
        <w:rPr>
          <w:sz w:val="28"/>
          <w:szCs w:val="28"/>
        </w:rPr>
        <w:t>, especially since there are no African nation members in the OECD</w:t>
      </w:r>
      <w:r w:rsidR="005A6057" w:rsidRPr="00B90A24">
        <w:rPr>
          <w:sz w:val="28"/>
          <w:szCs w:val="28"/>
        </w:rPr>
        <w:t xml:space="preserve"> and perceptions of fairness in determining tax rules differ </w:t>
      </w:r>
      <w:r w:rsidR="005A6057" w:rsidRPr="00B90A24">
        <w:rPr>
          <w:sz w:val="28"/>
          <w:szCs w:val="28"/>
        </w:rPr>
        <w:fldChar w:fldCharType="begin"/>
      </w:r>
      <w:r w:rsidR="00A06D6C" w:rsidRPr="00B90A24">
        <w:rPr>
          <w:sz w:val="28"/>
          <w:szCs w:val="28"/>
        </w:rPr>
        <w:instrText xml:space="preserve"> ADDIN ZOTERO_ITEM CSL_CITATION {"citationID":"a1krc20m8ik","properties":{"formattedCitation":"(Burgers &amp; Mosquera, 2017)","plainCitation":"(Burgers &amp; Mosquera, 2017)","noteIndex":0},"citationItems":[{"id":5909,"uris":["http://zotero.org/groups/997303/items/85MHHXSX"],"uri":["http://zotero.org/groups/997303/items/85MHHXSX"],"itemData":{"id":5909,"type":"article-journal","container-title":"Erasmus Law Review","journalAbbreviation":"Erasmus L. Rev.","page":"29","title":"Corporate Taxation and BEPS: A Fair Slice for Developing Countries","title-short":"Corporate Taxation and BEPS","volume":"10","author":[{"family":"Burgers","given":"Irene"},{"family":"Mosquera","given":"Irma"}],"issued":{"date-parts":[["2017"]]}}}],"schema":"https://github.com/citation-style-language/schema/raw/master/csl-citation.json"} </w:instrText>
      </w:r>
      <w:r w:rsidR="005A6057" w:rsidRPr="00B90A24">
        <w:rPr>
          <w:sz w:val="28"/>
          <w:szCs w:val="28"/>
        </w:rPr>
        <w:fldChar w:fldCharType="separate"/>
      </w:r>
      <w:r w:rsidR="00B133DE" w:rsidRPr="00B90A24">
        <w:rPr>
          <w:rFonts w:cs="Times New Roman"/>
          <w:sz w:val="28"/>
          <w:szCs w:val="28"/>
        </w:rPr>
        <w:t>(Burgers &amp; Mosquera, 2017)</w:t>
      </w:r>
      <w:r w:rsidR="005A6057" w:rsidRPr="00B90A24">
        <w:rPr>
          <w:sz w:val="28"/>
          <w:szCs w:val="28"/>
        </w:rPr>
        <w:fldChar w:fldCharType="end"/>
      </w:r>
      <w:r w:rsidRPr="00B90A24">
        <w:rPr>
          <w:sz w:val="28"/>
          <w:szCs w:val="28"/>
        </w:rPr>
        <w:t xml:space="preserve">. </w:t>
      </w:r>
      <w:r w:rsidR="0015475E" w:rsidRPr="00B90A24">
        <w:rPr>
          <w:sz w:val="28"/>
          <w:szCs w:val="28"/>
        </w:rPr>
        <w:t xml:space="preserve">As </w:t>
      </w:r>
      <w:r w:rsidRPr="00B90A24">
        <w:rPr>
          <w:sz w:val="28"/>
          <w:szCs w:val="28"/>
        </w:rPr>
        <w:t xml:space="preserve">conflicts over the distribution of taxing rights </w:t>
      </w:r>
      <w:r w:rsidR="00B1575B" w:rsidRPr="00B90A24">
        <w:rPr>
          <w:sz w:val="28"/>
          <w:szCs w:val="28"/>
        </w:rPr>
        <w:t>have arisen</w:t>
      </w:r>
      <w:r w:rsidR="0015475E" w:rsidRPr="00B90A24">
        <w:rPr>
          <w:sz w:val="28"/>
          <w:szCs w:val="28"/>
        </w:rPr>
        <w:t xml:space="preserve"> </w:t>
      </w:r>
      <w:r w:rsidRPr="00B90A24">
        <w:rPr>
          <w:sz w:val="28"/>
          <w:szCs w:val="28"/>
        </w:rPr>
        <w:t xml:space="preserve">between OECD members and non-members, more inclusive fora, such as the Inclusive Framework on </w:t>
      </w:r>
      <w:r w:rsidR="00F40814" w:rsidRPr="00B90A24">
        <w:rPr>
          <w:sz w:val="28"/>
          <w:szCs w:val="28"/>
        </w:rPr>
        <w:t>BEPS</w:t>
      </w:r>
      <w:r w:rsidRPr="00B90A24">
        <w:rPr>
          <w:sz w:val="28"/>
          <w:szCs w:val="28"/>
        </w:rPr>
        <w:t xml:space="preserve"> that involves 80 developing countries, </w:t>
      </w:r>
      <w:r w:rsidR="0015475E" w:rsidRPr="00B90A24">
        <w:rPr>
          <w:sz w:val="28"/>
          <w:szCs w:val="28"/>
        </w:rPr>
        <w:t xml:space="preserve">appear to be </w:t>
      </w:r>
      <w:r w:rsidRPr="00B90A24">
        <w:rPr>
          <w:sz w:val="28"/>
          <w:szCs w:val="28"/>
        </w:rPr>
        <w:t>relegated to footnotes or ignored</w:t>
      </w:r>
      <w:r w:rsidR="00743350" w:rsidRPr="00B90A24">
        <w:rPr>
          <w:sz w:val="28"/>
          <w:szCs w:val="28"/>
        </w:rPr>
        <w:t xml:space="preserve"> </w:t>
      </w:r>
      <w:r w:rsidR="00743350" w:rsidRPr="00B90A24">
        <w:rPr>
          <w:sz w:val="28"/>
          <w:szCs w:val="28"/>
        </w:rPr>
        <w:fldChar w:fldCharType="begin"/>
      </w:r>
      <w:r w:rsidR="00B133DE" w:rsidRPr="00B90A24">
        <w:rPr>
          <w:sz w:val="28"/>
          <w:szCs w:val="28"/>
        </w:rPr>
        <w:instrText xml:space="preserve"> ADDIN ZOTERO_ITEM CSL_CITATION {"citationID":"xK5Xw5j7","properties":{"formattedCitation":"(Cobham, 2020b; G24, 2019, p. 24)","plainCitation":"(Cobham, 2020b; G24, 2019, p. 24)","noteIndex":0},"citationItems":[{"id":5616,"uris":["http://zotero.org/groups/997303/items/ISTDQNG7"],"uri":["http://zotero.org/groups/997303/items/ISTDQNG7"],"itemData":{"id":5616,"type":"post-weblog","abstract":"The OECD secretariat obtained agreement from the Inclusive Framework to press ahead with its own proposals, following US-French agreement of sorts - but at what price for the organisation's legitimacy, and the future of international tax rules?","container-title":"Tax Justice Network","language":"en-GB","note":"source: www.taxjustice.net","title":"A Pyrrhic victory for the OECD?","URL":"https://www.taxjustice.net/2020/01/31/a-pyrrhic-victory-for-the-oecd/, https://www.taxjustice.net/2020/01/31/a-pyrrhic-victory-for-the-oecd/","author":[{"family":"Cobham","given":"Alex"}],"accessed":{"date-parts":[["2020",4,16]]},"issued":{"date-parts":[["2020",1,31]]}}},{"id":5889,"uris":["http://zotero.org/groups/997303/items/HBSQS2H4"],"uri":["http://zotero.org/groups/997303/items/HBSQS2H4"],"itemData":{"id":5889,"type":"report","title":"Comments of the G-24 on the OECD Secretariat Proposal for a Unified Approach to the Nexus and Profit Allocation Challenges Arising from the Digitalisation (Pillar 1)","URL":"https://www.g24.org/wp-content/uploads/2019/12/G-24_Comments-on-OECD-Secretariat-Proposal-for-a-Unified-Approach.pdf","author":[{"family":"G24","given":""}],"accessed":{"date-parts":[["2020",6,10]]},"issued":{"date-parts":[["2019",11,9]]}},"locator":"24"}],"schema":"https://github.com/citation-style-language/schema/raw/master/csl-citation.json"} </w:instrText>
      </w:r>
      <w:r w:rsidR="00743350" w:rsidRPr="00B90A24">
        <w:rPr>
          <w:sz w:val="28"/>
          <w:szCs w:val="28"/>
        </w:rPr>
        <w:fldChar w:fldCharType="separate"/>
      </w:r>
      <w:r w:rsidR="00B133DE" w:rsidRPr="00B90A24">
        <w:rPr>
          <w:rFonts w:cs="Times New Roman"/>
          <w:sz w:val="28"/>
          <w:szCs w:val="28"/>
        </w:rPr>
        <w:t>(Cobham, 2020b; G24, 2019, p. 24)</w:t>
      </w:r>
      <w:r w:rsidR="00743350" w:rsidRPr="00B90A24">
        <w:rPr>
          <w:sz w:val="28"/>
          <w:szCs w:val="28"/>
        </w:rPr>
        <w:fldChar w:fldCharType="end"/>
      </w:r>
      <w:r w:rsidR="005A6057" w:rsidRPr="00B90A24">
        <w:rPr>
          <w:sz w:val="28"/>
          <w:szCs w:val="28"/>
        </w:rPr>
        <w:t xml:space="preserve">, and the process and ensuing new rules will </w:t>
      </w:r>
      <w:r w:rsidR="009248B9" w:rsidRPr="00B90A24">
        <w:rPr>
          <w:sz w:val="28"/>
          <w:szCs w:val="28"/>
        </w:rPr>
        <w:t>lack</w:t>
      </w:r>
      <w:r w:rsidR="005A6057" w:rsidRPr="00B90A24">
        <w:rPr>
          <w:sz w:val="28"/>
          <w:szCs w:val="28"/>
        </w:rPr>
        <w:t xml:space="preserve"> legitimacy </w:t>
      </w:r>
      <w:r w:rsidR="005A6057" w:rsidRPr="00B90A24">
        <w:rPr>
          <w:sz w:val="28"/>
          <w:szCs w:val="28"/>
        </w:rPr>
        <w:fldChar w:fldCharType="begin"/>
      </w:r>
      <w:r w:rsidR="00A06D6C" w:rsidRPr="00B90A24">
        <w:rPr>
          <w:sz w:val="28"/>
          <w:szCs w:val="28"/>
        </w:rPr>
        <w:instrText xml:space="preserve"> ADDIN ZOTERO_ITEM CSL_CITATION {"citationID":"a1jotjpbfuc","properties":{"formattedCitation":"\\uldash{(Mosquera, 2018)}","plainCitation":"(Mosquera, 2018)","dontUpdate":true,"noteIndex":0},"citationItems":[{"id":5910,"uris":["http://zotero.org/groups/997303/items/ZQZ4RY55"],"uri":["http://zotero.org/groups/997303/items/ZQZ4RY55"],"itemData":{"id":5910,"type":"article-journal","abstract":"In this article, the author considers output legitimacy deficits in the context of the Inclusive Framework of the OECD/G20 Base Erosion and Profit Shifting Initiative, with special emphasis on the issues and problems that this raises for developing countries.","container-title":"Bulletin for International Taxation","note":"Accepted: 2020-06-09T17:45:36Z","source":"openaccess.leidenuniv.nl","title":"Output Legitimacy Deficits and the Inclusive Framework of the OECD/G20 Base Erosion and Profit Shifting Initiative","URL":"https://openaccess.leidenuniv.nl/handle/1887/59348","author":[{"family":"Mosquera","given":"Valderrama I. J."}],"accessed":{"date-parts":[["2020",6,12]]},"issued":{"date-parts":[["2018"]]}}}],"schema":"https://github.com/citation-style-language/schema/raw/master/csl-citation.json"} </w:instrText>
      </w:r>
      <w:r w:rsidR="005A6057" w:rsidRPr="00B90A24">
        <w:rPr>
          <w:sz w:val="28"/>
          <w:szCs w:val="28"/>
        </w:rPr>
        <w:fldChar w:fldCharType="separate"/>
      </w:r>
      <w:r w:rsidR="005A6057" w:rsidRPr="00B90A24">
        <w:rPr>
          <w:rFonts w:cs="Times New Roman"/>
          <w:sz w:val="28"/>
          <w:szCs w:val="28"/>
        </w:rPr>
        <w:t>(</w:t>
      </w:r>
      <w:r w:rsidR="009248B9" w:rsidRPr="00B90A24">
        <w:rPr>
          <w:rFonts w:cs="Times New Roman"/>
          <w:sz w:val="28"/>
          <w:szCs w:val="28"/>
        </w:rPr>
        <w:t xml:space="preserve">cf. </w:t>
      </w:r>
      <w:r w:rsidR="005A6057" w:rsidRPr="00B90A24">
        <w:rPr>
          <w:rFonts w:cs="Times New Roman"/>
          <w:sz w:val="28"/>
          <w:szCs w:val="28"/>
        </w:rPr>
        <w:t>Mosquera, 2018)</w:t>
      </w:r>
      <w:r w:rsidR="005A6057" w:rsidRPr="00B90A24">
        <w:rPr>
          <w:sz w:val="28"/>
          <w:szCs w:val="28"/>
        </w:rPr>
        <w:fldChar w:fldCharType="end"/>
      </w:r>
      <w:r w:rsidRPr="00B90A24">
        <w:rPr>
          <w:sz w:val="28"/>
          <w:szCs w:val="28"/>
        </w:rPr>
        <w:t xml:space="preserve">. Therefore, African countries may consider </w:t>
      </w:r>
      <w:r w:rsidR="00B1575B" w:rsidRPr="00B90A24">
        <w:rPr>
          <w:sz w:val="28"/>
          <w:szCs w:val="28"/>
        </w:rPr>
        <w:t>if the</w:t>
      </w:r>
      <w:r w:rsidR="001A3ABD" w:rsidRPr="00B90A24">
        <w:rPr>
          <w:sz w:val="28"/>
          <w:szCs w:val="28"/>
        </w:rPr>
        <w:t>i</w:t>
      </w:r>
      <w:r w:rsidR="00B1575B" w:rsidRPr="00B90A24">
        <w:rPr>
          <w:sz w:val="28"/>
          <w:szCs w:val="28"/>
        </w:rPr>
        <w:t>r interests would be better served through the globally representative</w:t>
      </w:r>
      <w:r w:rsidR="00712145" w:rsidRPr="00B90A24">
        <w:rPr>
          <w:sz w:val="28"/>
          <w:szCs w:val="28"/>
        </w:rPr>
        <w:t xml:space="preserve"> United Nations system </w:t>
      </w:r>
      <w:r w:rsidR="00712145" w:rsidRPr="00B90A24">
        <w:rPr>
          <w:sz w:val="28"/>
          <w:szCs w:val="28"/>
        </w:rPr>
        <w:fldChar w:fldCharType="begin"/>
      </w:r>
      <w:r w:rsidR="00500851" w:rsidRPr="00B90A24">
        <w:rPr>
          <w:sz w:val="28"/>
          <w:szCs w:val="28"/>
        </w:rPr>
        <w:instrText xml:space="preserve"> ADDIN ZOTERO_ITEM CSL_CITATION {"citationID":"PXuGIBd0","properties":{"formattedCitation":"(Independent Commission for the Reform of International Corporate Taxation, 2019)","plainCitation":"(Independent Commission for the Reform of International Corporate Taxation, 2019)","dontUpdate":true,"noteIndex":0},"citationItems":[{"id":5888,"uris":["http://zotero.org/groups/997303/items/DZQYMKX5"],"uri":["http://zotero.org/groups/997303/items/DZQYMKX5"],"itemData":{"id":5888,"type":"report","title":"International corporate tax reform: Towards a fair and comprehensive solution","URL":"https://static1.squarespace.com/static/5a0c602bf43b5594845abb81/t/5d979e6dc5f7cb7b66842c49/1570217588721/ICRICT-INTERNATIONAL+CORPORATE+TAX+REFORM.pdf","author":[{"family":"Independent Commission for the Reform of International Corporate Taxation","given":""}],"accessed":{"date-parts":[["2020",6,10]]},"issued":{"date-parts":[["2019",10]]}}}],"schema":"https://github.com/citation-style-language/schema/raw/master/csl-citation.json"} </w:instrText>
      </w:r>
      <w:r w:rsidR="00712145" w:rsidRPr="00B90A24">
        <w:rPr>
          <w:sz w:val="28"/>
          <w:szCs w:val="28"/>
        </w:rPr>
        <w:fldChar w:fldCharType="separate"/>
      </w:r>
      <w:r w:rsidR="00712145" w:rsidRPr="00B90A24">
        <w:rPr>
          <w:rFonts w:cs="Times New Roman"/>
          <w:sz w:val="28"/>
          <w:szCs w:val="28"/>
        </w:rPr>
        <w:t>(ICRICT, 2019)</w:t>
      </w:r>
      <w:r w:rsidR="00712145" w:rsidRPr="00B90A24">
        <w:rPr>
          <w:sz w:val="28"/>
          <w:szCs w:val="28"/>
        </w:rPr>
        <w:fldChar w:fldCharType="end"/>
      </w:r>
      <w:r w:rsidR="00712145" w:rsidRPr="00B90A24">
        <w:rPr>
          <w:sz w:val="28"/>
          <w:szCs w:val="28"/>
        </w:rPr>
        <w:t>, specifically the</w:t>
      </w:r>
      <w:r w:rsidR="009577E6" w:rsidRPr="00B90A24">
        <w:rPr>
          <w:sz w:val="28"/>
          <w:szCs w:val="28"/>
        </w:rPr>
        <w:t xml:space="preserve"> new </w:t>
      </w:r>
      <w:r w:rsidR="00546B08" w:rsidRPr="00B90A24">
        <w:rPr>
          <w:sz w:val="28"/>
          <w:szCs w:val="28"/>
        </w:rPr>
        <w:fldChar w:fldCharType="begin"/>
      </w:r>
      <w:r w:rsidR="00B133DE" w:rsidRPr="00B90A24">
        <w:rPr>
          <w:sz w:val="28"/>
          <w:szCs w:val="28"/>
        </w:rPr>
        <w:instrText xml:space="preserve"> ADDIN ZOTERO_ITEM CSL_CITATION {"citationID":"uh7443jV","properties":{"formattedCitation":"(United Nations High Level Panel on International Financial Accountability, Transparency and Integrity for Achieving the 2030 Agenda, 2020)","plainCitation":"(United Nations High Level Panel on International Financial Accountability, Transparency and Integrity for Achieving the 2030 Agenda, 2020)","dontUpdate":true,"noteIndex":0},"citationItems":[{"id":"LppWUde1/hSBpbbPY","uris":["http://zotero.org/users/1521920/items/CTY9AJSZ"],"uri":["http://zotero.org/users/1521920/items/CTY9AJSZ"],"itemData":{"id":34947,"type":"report","publisher":"President of the General Assembly and the","title":"Overview of Existing International Institutional and Legal Frameworks Related to Financial Accountability, Transparency and Integrity. FACTI Panel Background Paper","URL":"https://assets-global.website-files.com/5e0bd9edab846816e263d633/5e8df72aec8ff1144d3773f3_FACTI%20BP%201%20Overview%20of%20frameworks.pdf","author":[{"family":"United Nations High Level Panel on International Financial Accountability, Transparency and Integrity for Achieving the 2030 Agenda","given":""}],"accessed":{"date-parts":[["2020",4,16]]},"issued":{"date-parts":[["2020",4,6]]}}}],"schema":"https://github.com/citation-style-language/schema/raw/master/csl-citation.json"} </w:instrText>
      </w:r>
      <w:r w:rsidR="00546B08" w:rsidRPr="00B90A24">
        <w:rPr>
          <w:sz w:val="28"/>
          <w:szCs w:val="28"/>
        </w:rPr>
        <w:fldChar w:fldCharType="separate"/>
      </w:r>
      <w:r w:rsidR="002B3993" w:rsidRPr="00B90A24">
        <w:rPr>
          <w:rFonts w:cs="Times New Roman"/>
          <w:sz w:val="28"/>
          <w:szCs w:val="28"/>
        </w:rPr>
        <w:t xml:space="preserve">United Nations High Level Panel on International Financial Accountability, Transparency and Integrity for Achieving the 2030 Agenda </w:t>
      </w:r>
      <w:r w:rsidR="009A0B05" w:rsidRPr="00B90A24">
        <w:rPr>
          <w:rFonts w:cs="Times New Roman"/>
          <w:sz w:val="28"/>
          <w:szCs w:val="28"/>
        </w:rPr>
        <w:t>(</w:t>
      </w:r>
      <w:r w:rsidR="002B3993" w:rsidRPr="00B90A24">
        <w:rPr>
          <w:rFonts w:cs="Times New Roman"/>
          <w:sz w:val="28"/>
          <w:szCs w:val="28"/>
        </w:rPr>
        <w:t>2020)</w:t>
      </w:r>
      <w:r w:rsidR="00546B08" w:rsidRPr="00B90A24">
        <w:rPr>
          <w:sz w:val="28"/>
          <w:szCs w:val="28"/>
        </w:rPr>
        <w:fldChar w:fldCharType="end"/>
      </w:r>
      <w:r w:rsidR="00712145" w:rsidRPr="00B90A24">
        <w:rPr>
          <w:sz w:val="28"/>
          <w:szCs w:val="28"/>
        </w:rPr>
        <w:t>,</w:t>
      </w:r>
      <w:r w:rsidR="009A0B05" w:rsidRPr="00B90A24">
        <w:rPr>
          <w:sz w:val="28"/>
          <w:szCs w:val="28"/>
        </w:rPr>
        <w:t xml:space="preserve"> </w:t>
      </w:r>
      <w:r w:rsidR="009577E6" w:rsidRPr="00B90A24">
        <w:rPr>
          <w:sz w:val="28"/>
          <w:szCs w:val="28"/>
        </w:rPr>
        <w:t xml:space="preserve">and </w:t>
      </w:r>
      <w:r w:rsidR="00CD170F" w:rsidRPr="00B90A24">
        <w:rPr>
          <w:sz w:val="28"/>
          <w:szCs w:val="28"/>
        </w:rPr>
        <w:t xml:space="preserve">a </w:t>
      </w:r>
      <w:r w:rsidR="009577E6" w:rsidRPr="00B90A24">
        <w:rPr>
          <w:sz w:val="28"/>
          <w:szCs w:val="28"/>
        </w:rPr>
        <w:t>novel</w:t>
      </w:r>
      <w:r w:rsidRPr="00B90A24">
        <w:rPr>
          <w:sz w:val="28"/>
          <w:szCs w:val="28"/>
        </w:rPr>
        <w:t xml:space="preserve"> convention at the United Nations to counter illicit financial flows, including from multinational companies</w:t>
      </w:r>
      <w:r w:rsidR="00B133DE" w:rsidRPr="00B90A24">
        <w:rPr>
          <w:sz w:val="28"/>
          <w:szCs w:val="28"/>
        </w:rPr>
        <w:t xml:space="preserve"> </w:t>
      </w:r>
      <w:r w:rsidR="00B133DE" w:rsidRPr="00B90A24">
        <w:rPr>
          <w:sz w:val="28"/>
          <w:szCs w:val="28"/>
        </w:rPr>
        <w:fldChar w:fldCharType="begin"/>
      </w:r>
      <w:r w:rsidR="00B133DE" w:rsidRPr="00B90A24">
        <w:rPr>
          <w:sz w:val="28"/>
          <w:szCs w:val="28"/>
        </w:rPr>
        <w:instrText xml:space="preserve"> ADDIN ZOTERO_ITEM CSL_CITATION {"citationID":"eCZtMWVj","properties":{"formattedCitation":"(Meinzer, 2019)","plainCitation":"(Meinzer, 2019)","noteIndex":0},"citationItems":[{"id":5848,"uris":["http://zotero.org/groups/997303/items/JY8B37BN"],"uri":["http://zotero.org/groups/997303/items/JY8B37BN"],"itemData":{"id":5848,"type":"thesis","event-place":"Utrecht, Netherlands","publisher":"Utrecht University","publisher-place":"Utrecht, Netherlands","title":"Countering cross-border tax evasion and avoidance: An assessment of OECD policy design from 2008 to 2018","URL":"http://coffers.eu/wp-content/uploads/2019/10/1910-Meinzer-PhD-Dissertation-OECD-Tax-Policies.pdf","author":[{"family":"Meinzer","given":"Markus"}],"accessed":{"date-parts":[["2020",6,2]]},"issued":{"date-parts":[["2019"]]}}}],"schema":"https://github.com/citation-style-language/schema/raw/master/csl-citation.json"} </w:instrText>
      </w:r>
      <w:r w:rsidR="00B133DE" w:rsidRPr="00B90A24">
        <w:rPr>
          <w:sz w:val="28"/>
          <w:szCs w:val="28"/>
        </w:rPr>
        <w:fldChar w:fldCharType="separate"/>
      </w:r>
      <w:r w:rsidR="00B133DE" w:rsidRPr="00B90A24">
        <w:rPr>
          <w:rFonts w:cs="Times New Roman"/>
          <w:sz w:val="28"/>
          <w:szCs w:val="28"/>
        </w:rPr>
        <w:t>(Meinzer, 2019)</w:t>
      </w:r>
      <w:r w:rsidR="00B133DE" w:rsidRPr="00B90A24">
        <w:rPr>
          <w:sz w:val="28"/>
          <w:szCs w:val="28"/>
        </w:rPr>
        <w:fldChar w:fldCharType="end"/>
      </w:r>
      <w:r w:rsidR="00E81898" w:rsidRPr="00B90A24">
        <w:rPr>
          <w:sz w:val="28"/>
          <w:szCs w:val="28"/>
        </w:rPr>
        <w:t>.</w:t>
      </w:r>
    </w:p>
    <w:bookmarkEnd w:id="2"/>
    <w:p w14:paraId="4F864622" w14:textId="77777777" w:rsidR="00D7338C" w:rsidRPr="00B90A24" w:rsidRDefault="00D7338C" w:rsidP="00B90A24">
      <w:pPr>
        <w:spacing w:after="0" w:line="240" w:lineRule="auto"/>
        <w:ind w:left="426" w:right="890"/>
        <w:jc w:val="both"/>
        <w:rPr>
          <w:sz w:val="28"/>
          <w:szCs w:val="28"/>
        </w:rPr>
      </w:pPr>
    </w:p>
    <w:p w14:paraId="01DF0989" w14:textId="51AF6363" w:rsidR="00783A4C" w:rsidRPr="00B90A24" w:rsidRDefault="00783A4C" w:rsidP="00B90A24">
      <w:pPr>
        <w:spacing w:after="0" w:line="240" w:lineRule="auto"/>
        <w:ind w:left="426" w:right="890"/>
        <w:jc w:val="both"/>
        <w:rPr>
          <w:b/>
          <w:color w:val="0070C0"/>
          <w:sz w:val="28"/>
          <w:szCs w:val="28"/>
        </w:rPr>
      </w:pPr>
      <w:r w:rsidRPr="00B90A24">
        <w:rPr>
          <w:b/>
          <w:color w:val="0070C0"/>
          <w:sz w:val="28"/>
          <w:szCs w:val="28"/>
        </w:rPr>
        <w:t>REFERENCES</w:t>
      </w:r>
    </w:p>
    <w:p w14:paraId="50849D70" w14:textId="77777777" w:rsidR="00783A4C" w:rsidRPr="00B90A24" w:rsidRDefault="00783A4C" w:rsidP="00D7338C">
      <w:pPr>
        <w:spacing w:after="0" w:line="240" w:lineRule="auto"/>
        <w:ind w:left="709" w:right="890" w:hanging="284"/>
        <w:jc w:val="both"/>
        <w:rPr>
          <w:szCs w:val="24"/>
        </w:rPr>
      </w:pPr>
    </w:p>
    <w:p w14:paraId="2E5115ED" w14:textId="77777777" w:rsidR="00B133DE" w:rsidRPr="00C5141D" w:rsidRDefault="00D844D2"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fldChar w:fldCharType="begin"/>
      </w:r>
      <w:r w:rsidR="00B133DE" w:rsidRPr="00C5141D">
        <w:rPr>
          <w:rFonts w:ascii="Times New Roman" w:hAnsi="Times New Roman" w:cs="Times New Roman"/>
          <w:sz w:val="28"/>
          <w:szCs w:val="28"/>
        </w:rPr>
        <w:instrText xml:space="preserve"> ADDIN ZOTERO_BIBL {"uncited":[],"omitted":[],"custom":[]} CSL_BIBLIOGRAPHY </w:instrText>
      </w:r>
      <w:r w:rsidRPr="00C5141D">
        <w:rPr>
          <w:rFonts w:ascii="Times New Roman" w:hAnsi="Times New Roman" w:cs="Times New Roman"/>
          <w:sz w:val="28"/>
          <w:szCs w:val="28"/>
        </w:rPr>
        <w:fldChar w:fldCharType="separate"/>
      </w:r>
      <w:r w:rsidR="00B133DE" w:rsidRPr="00C5141D">
        <w:rPr>
          <w:rFonts w:ascii="Times New Roman" w:hAnsi="Times New Roman" w:cs="Times New Roman"/>
          <w:sz w:val="28"/>
          <w:szCs w:val="28"/>
        </w:rPr>
        <w:t xml:space="preserve">Abbas, S. M. A., &amp; Klemm, A. (2013). A partial race to the bottom: Corporate tax developments in emerging and developing economies. </w:t>
      </w:r>
      <w:r w:rsidR="00B133DE" w:rsidRPr="00C5141D">
        <w:rPr>
          <w:rFonts w:ascii="Times New Roman" w:hAnsi="Times New Roman" w:cs="Times New Roman"/>
          <w:i/>
          <w:iCs/>
          <w:sz w:val="28"/>
          <w:szCs w:val="28"/>
        </w:rPr>
        <w:t>International Tax and Public Finance</w:t>
      </w:r>
      <w:r w:rsidR="00B133DE" w:rsidRPr="00C5141D">
        <w:rPr>
          <w:rFonts w:ascii="Times New Roman" w:hAnsi="Times New Roman" w:cs="Times New Roman"/>
          <w:sz w:val="28"/>
          <w:szCs w:val="28"/>
        </w:rPr>
        <w:t xml:space="preserve">, </w:t>
      </w:r>
      <w:r w:rsidR="00B133DE" w:rsidRPr="00C5141D">
        <w:rPr>
          <w:rFonts w:ascii="Times New Roman" w:hAnsi="Times New Roman" w:cs="Times New Roman"/>
          <w:i/>
          <w:iCs/>
          <w:sz w:val="28"/>
          <w:szCs w:val="28"/>
        </w:rPr>
        <w:t>20</w:t>
      </w:r>
      <w:r w:rsidR="00B133DE" w:rsidRPr="00C5141D">
        <w:rPr>
          <w:rFonts w:ascii="Times New Roman" w:hAnsi="Times New Roman" w:cs="Times New Roman"/>
          <w:sz w:val="28"/>
          <w:szCs w:val="28"/>
        </w:rPr>
        <w:t>(4), 596–617. https://doi.org/10.1007/s10797-013-9286-8</w:t>
      </w:r>
    </w:p>
    <w:p w14:paraId="77C2F2A5"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African Union Commission, &amp; United Nations Economic Commission for Africa. (2015). </w:t>
      </w:r>
      <w:r w:rsidRPr="00C5141D">
        <w:rPr>
          <w:rFonts w:ascii="Times New Roman" w:hAnsi="Times New Roman" w:cs="Times New Roman"/>
          <w:i/>
          <w:iCs/>
          <w:sz w:val="28"/>
          <w:szCs w:val="28"/>
        </w:rPr>
        <w:t>Illicit Financial Flow: Report of the High Level Panel on Illicit Financial Flows from Africa</w:t>
      </w:r>
      <w:r w:rsidRPr="00C5141D">
        <w:rPr>
          <w:rFonts w:ascii="Times New Roman" w:hAnsi="Times New Roman" w:cs="Times New Roman"/>
          <w:sz w:val="28"/>
          <w:szCs w:val="28"/>
        </w:rPr>
        <w:t>. African Union Commission; United Nations Economic Commission for Africa. https://www.uneca.org/sites/default/files/PublicationFiles/iff_main_report_26feb_en.pdf</w:t>
      </w:r>
    </w:p>
    <w:p w14:paraId="0CE3A412"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Alstadsæter, A., Barrios, S., Nicodeme, G., Skonieczna, A. M., &amp; Vezzani, A. (2018). Patent boxes design, patents location, and local R&amp;D. </w:t>
      </w:r>
      <w:r w:rsidRPr="00C5141D">
        <w:rPr>
          <w:rFonts w:ascii="Times New Roman" w:hAnsi="Times New Roman" w:cs="Times New Roman"/>
          <w:i/>
          <w:iCs/>
          <w:sz w:val="28"/>
          <w:szCs w:val="28"/>
        </w:rPr>
        <w:t>Economic Policy</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33</w:t>
      </w:r>
      <w:r w:rsidRPr="00C5141D">
        <w:rPr>
          <w:rFonts w:ascii="Times New Roman" w:hAnsi="Times New Roman" w:cs="Times New Roman"/>
          <w:sz w:val="28"/>
          <w:szCs w:val="28"/>
        </w:rPr>
        <w:t>(93), 131–177. https://doi.org/10.1093/epolic/eix021</w:t>
      </w:r>
    </w:p>
    <w:p w14:paraId="141A1165"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Ates, L., Cobham, A., Harari, M., Janský, P., Meinzer, M., Millan-Narotzky, L., &amp; Palanský, M. (forthcoming). The Corporate Tax Haven Index: A new geography of profit shifting. In </w:t>
      </w:r>
      <w:r w:rsidRPr="00C5141D">
        <w:rPr>
          <w:rFonts w:ascii="Times New Roman" w:hAnsi="Times New Roman" w:cs="Times New Roman"/>
          <w:i/>
          <w:iCs/>
          <w:sz w:val="28"/>
          <w:szCs w:val="28"/>
        </w:rPr>
        <w:t>COFFERS volume</w:t>
      </w:r>
      <w:r w:rsidRPr="00C5141D">
        <w:rPr>
          <w:rFonts w:ascii="Times New Roman" w:hAnsi="Times New Roman" w:cs="Times New Roman"/>
          <w:sz w:val="28"/>
          <w:szCs w:val="28"/>
        </w:rPr>
        <w:t>. Oxford University Press.</w:t>
      </w:r>
    </w:p>
    <w:p w14:paraId="471A14C6"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Ates, L., Harari, M., &amp; Meinzer, M. (2020). </w:t>
      </w:r>
      <w:r w:rsidRPr="00C5141D">
        <w:rPr>
          <w:rFonts w:ascii="Times New Roman" w:hAnsi="Times New Roman" w:cs="Times New Roman"/>
          <w:i/>
          <w:iCs/>
          <w:sz w:val="28"/>
          <w:szCs w:val="28"/>
        </w:rPr>
        <w:t>Positive Spillovers in International Corporate Taxation and the European Union</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48</w:t>
      </w:r>
      <w:r w:rsidRPr="00C5141D">
        <w:rPr>
          <w:rFonts w:ascii="Times New Roman" w:hAnsi="Times New Roman" w:cs="Times New Roman"/>
          <w:sz w:val="28"/>
          <w:szCs w:val="28"/>
        </w:rPr>
        <w:t>(4), 389–401.</w:t>
      </w:r>
    </w:p>
    <w:p w14:paraId="4E9BDBE7"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Ault, H. J., &amp; Arnold, B. J. (2017). Chapter 1: Protecting the tax base of developing countries: An overview. In A. Trepelkov, H. Tonito, &amp; D. Halka (Eds.), </w:t>
      </w:r>
      <w:r w:rsidRPr="00C5141D">
        <w:rPr>
          <w:rFonts w:ascii="Times New Roman" w:hAnsi="Times New Roman" w:cs="Times New Roman"/>
          <w:i/>
          <w:iCs/>
          <w:sz w:val="28"/>
          <w:szCs w:val="28"/>
        </w:rPr>
        <w:t>United Nations Handbook on Selected Issues in Protecting the Tax Base of Developing Countries</w:t>
      </w:r>
      <w:r w:rsidRPr="00C5141D">
        <w:rPr>
          <w:rFonts w:ascii="Times New Roman" w:hAnsi="Times New Roman" w:cs="Times New Roman"/>
          <w:sz w:val="28"/>
          <w:szCs w:val="28"/>
        </w:rPr>
        <w:t xml:space="preserve"> (Second, pp. 1–59). United Nations.</w:t>
      </w:r>
    </w:p>
    <w:p w14:paraId="4C4FFCF1"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Avi-Yonah, R. S. (2020). </w:t>
      </w:r>
      <w:r w:rsidRPr="00C5141D">
        <w:rPr>
          <w:rFonts w:ascii="Times New Roman" w:hAnsi="Times New Roman" w:cs="Times New Roman"/>
          <w:i/>
          <w:iCs/>
          <w:sz w:val="28"/>
          <w:szCs w:val="28"/>
        </w:rPr>
        <w:t>Taxation and Business: The Human Rights Dimension of Corporate Tax Practices</w:t>
      </w:r>
      <w:r w:rsidRPr="00C5141D">
        <w:rPr>
          <w:rFonts w:ascii="Times New Roman" w:hAnsi="Times New Roman" w:cs="Times New Roman"/>
          <w:sz w:val="28"/>
          <w:szCs w:val="28"/>
        </w:rPr>
        <w:t xml:space="preserve"> (SSRN Scholarly Paper ID 3576538). Social Science Research Network. https://doi.org/10.2139/ssrn.3576538</w:t>
      </w:r>
    </w:p>
    <w:p w14:paraId="33A78317"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Baker Mckenzie. (2018, February). </w:t>
      </w:r>
      <w:r w:rsidRPr="00C5141D">
        <w:rPr>
          <w:rFonts w:ascii="Times New Roman" w:hAnsi="Times New Roman" w:cs="Times New Roman"/>
          <w:i/>
          <w:iCs/>
          <w:sz w:val="28"/>
          <w:szCs w:val="28"/>
        </w:rPr>
        <w:t>Tax News and Developments- North America Tax Practice Group</w:t>
      </w:r>
      <w:r w:rsidRPr="00C5141D">
        <w:rPr>
          <w:rFonts w:ascii="Times New Roman" w:hAnsi="Times New Roman" w:cs="Times New Roman"/>
          <w:sz w:val="28"/>
          <w:szCs w:val="28"/>
        </w:rPr>
        <w:t>. Volume XVIII, Issue 1. https://www.bakermckenzie.com/-/media/files/insight/publications/2018/02/nl_na_taxnewsdevelopmentv2_feb2018.pdf?la=en</w:t>
      </w:r>
    </w:p>
    <w:p w14:paraId="3C5CE585"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Becker, W., &amp; Saisana, M. (2018). </w:t>
      </w:r>
      <w:r w:rsidRPr="00C5141D">
        <w:rPr>
          <w:rFonts w:ascii="Times New Roman" w:hAnsi="Times New Roman" w:cs="Times New Roman"/>
          <w:i/>
          <w:iCs/>
          <w:sz w:val="28"/>
          <w:szCs w:val="28"/>
        </w:rPr>
        <w:t>The JRC Statistical Audit of the Financial Secrecy Index 2018 and TJN’s Response to JRC Audit</w:t>
      </w:r>
      <w:r w:rsidRPr="00C5141D">
        <w:rPr>
          <w:rFonts w:ascii="Times New Roman" w:hAnsi="Times New Roman" w:cs="Times New Roman"/>
          <w:sz w:val="28"/>
          <w:szCs w:val="28"/>
        </w:rPr>
        <w:t>. Joint Research Centre, European Commission; Tax Justice Network. https://composite-indicators.jrc.ec.europa.eu/sites/default/files/JRC%20Statistical%20Audit%20of%20the%20Financial%20Secrecy%20Index%202018.pdf</w:t>
      </w:r>
    </w:p>
    <w:p w14:paraId="52DDE2D3"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Beer, S., &amp; Loeprick, J. (2018). </w:t>
      </w:r>
      <w:r w:rsidRPr="00C5141D">
        <w:rPr>
          <w:rFonts w:ascii="Times New Roman" w:hAnsi="Times New Roman" w:cs="Times New Roman"/>
          <w:i/>
          <w:iCs/>
          <w:sz w:val="28"/>
          <w:szCs w:val="28"/>
        </w:rPr>
        <w:t>The Cost and Benefits of Tax Treaties with Investment Hubs: Findings from Sub-Saharan Africa</w:t>
      </w:r>
      <w:r w:rsidRPr="00C5141D">
        <w:rPr>
          <w:rFonts w:ascii="Times New Roman" w:hAnsi="Times New Roman" w:cs="Times New Roman"/>
          <w:sz w:val="28"/>
          <w:szCs w:val="28"/>
        </w:rPr>
        <w:t>. https://www.imf.org/en/Publications/WP/Issues/2018/10/24/The-Cost-and-Benefits-of-Tax-Treaties-with-Investment-Hubs-Findings-from-Sub-Saharan-Africa-46264</w:t>
      </w:r>
    </w:p>
    <w:p w14:paraId="2553ABBF"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Berkhout, E. (2016). </w:t>
      </w:r>
      <w:r w:rsidRPr="00C5141D">
        <w:rPr>
          <w:rFonts w:ascii="Times New Roman" w:hAnsi="Times New Roman" w:cs="Times New Roman"/>
          <w:i/>
          <w:iCs/>
          <w:sz w:val="28"/>
          <w:szCs w:val="28"/>
        </w:rPr>
        <w:t>Tax Battles: The dangerous global race to the bottom on corporate tax</w:t>
      </w:r>
      <w:r w:rsidRPr="00C5141D">
        <w:rPr>
          <w:rFonts w:ascii="Times New Roman" w:hAnsi="Times New Roman" w:cs="Times New Roman"/>
          <w:sz w:val="28"/>
          <w:szCs w:val="28"/>
        </w:rPr>
        <w:t xml:space="preserve"> (p. 46). Oxfam Policy Paper. </w:t>
      </w:r>
      <w:r w:rsidRPr="00C5141D">
        <w:rPr>
          <w:rFonts w:ascii="Times New Roman" w:hAnsi="Times New Roman" w:cs="Times New Roman"/>
          <w:sz w:val="28"/>
          <w:szCs w:val="28"/>
        </w:rPr>
        <w:lastRenderedPageBreak/>
        <w:t>https://www.oxfam.org/sites/www.oxfam.org/files/bp-race-to-bottom-corporate-tax-121216-en.pdf</w:t>
      </w:r>
    </w:p>
    <w:p w14:paraId="15F071DE"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Burgers, I., &amp; Mosquera, I. (2017). Corporate Taxation and BEPS: A Fair Slice for Developing Countries. </w:t>
      </w:r>
      <w:r w:rsidRPr="00C5141D">
        <w:rPr>
          <w:rFonts w:ascii="Times New Roman" w:hAnsi="Times New Roman" w:cs="Times New Roman"/>
          <w:i/>
          <w:iCs/>
          <w:sz w:val="28"/>
          <w:szCs w:val="28"/>
        </w:rPr>
        <w:t>Erasmus Law Review</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10</w:t>
      </w:r>
      <w:r w:rsidRPr="00C5141D">
        <w:rPr>
          <w:rFonts w:ascii="Times New Roman" w:hAnsi="Times New Roman" w:cs="Times New Roman"/>
          <w:sz w:val="28"/>
          <w:szCs w:val="28"/>
        </w:rPr>
        <w:t>, 29.</w:t>
      </w:r>
    </w:p>
    <w:p w14:paraId="444CFCF5"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Centre for European Economic Research, Z. (2013). </w:t>
      </w:r>
      <w:r w:rsidRPr="00C5141D">
        <w:rPr>
          <w:rFonts w:ascii="Times New Roman" w:hAnsi="Times New Roman" w:cs="Times New Roman"/>
          <w:i/>
          <w:iCs/>
          <w:sz w:val="28"/>
          <w:szCs w:val="28"/>
        </w:rPr>
        <w:t>Intellectual Property Box Regimes: Effective Tax Rates and Tax Policy Considerations</w:t>
      </w:r>
      <w:r w:rsidRPr="00C5141D">
        <w:rPr>
          <w:rFonts w:ascii="Times New Roman" w:hAnsi="Times New Roman" w:cs="Times New Roman"/>
          <w:sz w:val="28"/>
          <w:szCs w:val="28"/>
        </w:rPr>
        <w:t xml:space="preserve"> (Discussion Paper No. 13-070). ftp://ftp.zew.de/pub/zew-docs/dp/dp13070.pdf</w:t>
      </w:r>
    </w:p>
    <w:p w14:paraId="58911C64"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(2014, December 16). </w:t>
      </w:r>
      <w:r w:rsidRPr="00C5141D">
        <w:rPr>
          <w:rFonts w:ascii="Times New Roman" w:hAnsi="Times New Roman" w:cs="Times New Roman"/>
          <w:i/>
          <w:iCs/>
          <w:sz w:val="28"/>
          <w:szCs w:val="28"/>
        </w:rPr>
        <w:t>#Luxleaks: The Reality of Tax ‘Competition’</w:t>
      </w:r>
      <w:r w:rsidRPr="00C5141D">
        <w:rPr>
          <w:rFonts w:ascii="Times New Roman" w:hAnsi="Times New Roman" w:cs="Times New Roman"/>
          <w:sz w:val="28"/>
          <w:szCs w:val="28"/>
        </w:rPr>
        <w:t>. Center For Global Development. https://www.cgdev.org/blog/luxleaks-reality-tax-competition</w:t>
      </w:r>
    </w:p>
    <w:p w14:paraId="51FB1CEA"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(2015, July 20). Will the patent box break BEPS? </w:t>
      </w:r>
      <w:r w:rsidRPr="00C5141D">
        <w:rPr>
          <w:rFonts w:ascii="Times New Roman" w:hAnsi="Times New Roman" w:cs="Times New Roman"/>
          <w:i/>
          <w:iCs/>
          <w:sz w:val="28"/>
          <w:szCs w:val="28"/>
        </w:rPr>
        <w:t>Tax Justice Network</w:t>
      </w:r>
      <w:r w:rsidRPr="00C5141D">
        <w:rPr>
          <w:rFonts w:ascii="Times New Roman" w:hAnsi="Times New Roman" w:cs="Times New Roman"/>
          <w:sz w:val="28"/>
          <w:szCs w:val="28"/>
        </w:rPr>
        <w:t>. https://www.taxjustice.net/2015/07/20/will-the-patent-box-break-beps/, https://www.taxjustice.net/2015/07/20/will-the-patent-box-break-beps/</w:t>
      </w:r>
    </w:p>
    <w:p w14:paraId="29912F20"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(2017). </w:t>
      </w:r>
      <w:r w:rsidRPr="00C5141D">
        <w:rPr>
          <w:rFonts w:ascii="Times New Roman" w:hAnsi="Times New Roman" w:cs="Times New Roman"/>
          <w:i/>
          <w:iCs/>
          <w:sz w:val="28"/>
          <w:szCs w:val="28"/>
        </w:rPr>
        <w:t>Tax avoidance and evasion—The scale of the problem</w:t>
      </w:r>
      <w:r w:rsidRPr="00C5141D">
        <w:rPr>
          <w:rFonts w:ascii="Times New Roman" w:hAnsi="Times New Roman" w:cs="Times New Roman"/>
          <w:sz w:val="28"/>
          <w:szCs w:val="28"/>
        </w:rPr>
        <w:t xml:space="preserve"> [Tax Justice Network Briefing]. Tax Justice Network. https://taxjustice.wpengine.com/wp-content/uploads/2017/11/Tax-dodging-the-scale-of-the-problem-TJN-Briefing.pdf</w:t>
      </w:r>
    </w:p>
    <w:p w14:paraId="41C9AA9A"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(2019, November 21). A historic day for unitary taxation. </w:t>
      </w:r>
      <w:r w:rsidRPr="00C5141D">
        <w:rPr>
          <w:rFonts w:ascii="Times New Roman" w:hAnsi="Times New Roman" w:cs="Times New Roman"/>
          <w:i/>
          <w:iCs/>
          <w:sz w:val="28"/>
          <w:szCs w:val="28"/>
        </w:rPr>
        <w:t>Tax Justice Network</w:t>
      </w:r>
      <w:r w:rsidRPr="00C5141D">
        <w:rPr>
          <w:rFonts w:ascii="Times New Roman" w:hAnsi="Times New Roman" w:cs="Times New Roman"/>
          <w:sz w:val="28"/>
          <w:szCs w:val="28"/>
        </w:rPr>
        <w:t>. https://www.taxjustice.net/2019/11/21/a-historic-day-for-unitary-taxation/, https://www.taxjustice.net/2019/11/21/a-historic-day-for-unitary-taxation/</w:t>
      </w:r>
    </w:p>
    <w:p w14:paraId="70A2B6D3"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(2020a). </w:t>
      </w:r>
      <w:r w:rsidRPr="00C5141D">
        <w:rPr>
          <w:rFonts w:ascii="Times New Roman" w:hAnsi="Times New Roman" w:cs="Times New Roman"/>
          <w:i/>
          <w:iCs/>
          <w:sz w:val="28"/>
          <w:szCs w:val="28"/>
        </w:rPr>
        <w:t>The Uncounted</w:t>
      </w:r>
      <w:r w:rsidRPr="00C5141D">
        <w:rPr>
          <w:rFonts w:ascii="Times New Roman" w:hAnsi="Times New Roman" w:cs="Times New Roman"/>
          <w:sz w:val="28"/>
          <w:szCs w:val="28"/>
        </w:rPr>
        <w:t xml:space="preserve"> (1 edition). Polity.</w:t>
      </w:r>
    </w:p>
    <w:p w14:paraId="2D4CB789"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(2020b, January 31). A Pyrrhic victory for the OECD? </w:t>
      </w:r>
      <w:r w:rsidRPr="00C5141D">
        <w:rPr>
          <w:rFonts w:ascii="Times New Roman" w:hAnsi="Times New Roman" w:cs="Times New Roman"/>
          <w:i/>
          <w:iCs/>
          <w:sz w:val="28"/>
          <w:szCs w:val="28"/>
        </w:rPr>
        <w:t>Tax Justice Network</w:t>
      </w:r>
      <w:r w:rsidRPr="00C5141D">
        <w:rPr>
          <w:rFonts w:ascii="Times New Roman" w:hAnsi="Times New Roman" w:cs="Times New Roman"/>
          <w:sz w:val="28"/>
          <w:szCs w:val="28"/>
        </w:rPr>
        <w:t>. https://www.taxjustice.net/2020/01/31/a-pyrrhic-victory-for-the-oecd/, https://www.taxjustice.net/2020/01/31/a-pyrrhic-victory-for-the-oecd/</w:t>
      </w:r>
    </w:p>
    <w:p w14:paraId="7329D869"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Faccio, T., &amp; FitzGerald, Valpy. (2019). </w:t>
      </w:r>
      <w:r w:rsidRPr="00C5141D">
        <w:rPr>
          <w:rFonts w:ascii="Times New Roman" w:hAnsi="Times New Roman" w:cs="Times New Roman"/>
          <w:i/>
          <w:iCs/>
          <w:sz w:val="28"/>
          <w:szCs w:val="28"/>
        </w:rPr>
        <w:t>An early evaluation of the OECD tax reform proposals</w:t>
      </w:r>
      <w:r w:rsidRPr="00C5141D">
        <w:rPr>
          <w:rFonts w:ascii="Times New Roman" w:hAnsi="Times New Roman" w:cs="Times New Roman"/>
          <w:sz w:val="28"/>
          <w:szCs w:val="28"/>
        </w:rPr>
        <w:t>. 26. https://osf.io/preprints/socarxiv/j3p48/download</w:t>
      </w:r>
    </w:p>
    <w:p w14:paraId="27602596"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&amp; Janský, P. (2018). Global distribution of revenue loss from corporate tax avoidance: Re-estimation and country results. </w:t>
      </w:r>
      <w:r w:rsidRPr="00C5141D">
        <w:rPr>
          <w:rFonts w:ascii="Times New Roman" w:hAnsi="Times New Roman" w:cs="Times New Roman"/>
          <w:i/>
          <w:iCs/>
          <w:sz w:val="28"/>
          <w:szCs w:val="28"/>
        </w:rPr>
        <w:t>Journal of International Development</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30</w:t>
      </w:r>
      <w:r w:rsidRPr="00C5141D">
        <w:rPr>
          <w:rFonts w:ascii="Times New Roman" w:hAnsi="Times New Roman" w:cs="Times New Roman"/>
          <w:sz w:val="28"/>
          <w:szCs w:val="28"/>
        </w:rPr>
        <w:t>(2), 206–232. https://doi.org/10.1002/jid.3348</w:t>
      </w:r>
    </w:p>
    <w:p w14:paraId="2E8EC5A2"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&amp; Janský, P. (2020). </w:t>
      </w:r>
      <w:r w:rsidRPr="00C5141D">
        <w:rPr>
          <w:rFonts w:ascii="Times New Roman" w:hAnsi="Times New Roman" w:cs="Times New Roman"/>
          <w:i/>
          <w:iCs/>
          <w:sz w:val="28"/>
          <w:szCs w:val="28"/>
        </w:rPr>
        <w:t>Estimating illicit financial flows: A critical guide to the data, methodologies and findings</w:t>
      </w:r>
      <w:r w:rsidRPr="00C5141D">
        <w:rPr>
          <w:rFonts w:ascii="Times New Roman" w:hAnsi="Times New Roman" w:cs="Times New Roman"/>
          <w:sz w:val="28"/>
          <w:szCs w:val="28"/>
        </w:rPr>
        <w:t>. Oxford University Press. https://global.oup.com/academic/product/estimating-illicit-financial-flows-9780198854418?q=9780198854418&amp;cc=gb&amp;lang=en#</w:t>
      </w:r>
    </w:p>
    <w:p w14:paraId="36409F09"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Cobham, A., Janský, P., &amp; Meinzer, M. (2015). The Financial Secrecy Index: Shedding New Light on the Geography of Secrecy. </w:t>
      </w:r>
      <w:r w:rsidRPr="00C5141D">
        <w:rPr>
          <w:rFonts w:ascii="Times New Roman" w:hAnsi="Times New Roman" w:cs="Times New Roman"/>
          <w:i/>
          <w:iCs/>
          <w:sz w:val="28"/>
          <w:szCs w:val="28"/>
        </w:rPr>
        <w:t>Economic Geography</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91</w:t>
      </w:r>
      <w:r w:rsidRPr="00C5141D">
        <w:rPr>
          <w:rFonts w:ascii="Times New Roman" w:hAnsi="Times New Roman" w:cs="Times New Roman"/>
          <w:sz w:val="28"/>
          <w:szCs w:val="28"/>
        </w:rPr>
        <w:t>(3), 281–303.</w:t>
      </w:r>
    </w:p>
    <w:p w14:paraId="6821E52C"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CPB Netherlands Bureau for Economic Policy Analysis. (2014). </w:t>
      </w:r>
      <w:r w:rsidRPr="00C5141D">
        <w:rPr>
          <w:rFonts w:ascii="Times New Roman" w:hAnsi="Times New Roman" w:cs="Times New Roman"/>
          <w:i/>
          <w:iCs/>
          <w:sz w:val="28"/>
          <w:szCs w:val="28"/>
        </w:rPr>
        <w:t>A study on R &amp; D tax incentives: Final report</w:t>
      </w:r>
      <w:r w:rsidRPr="00C5141D">
        <w:rPr>
          <w:rFonts w:ascii="Times New Roman" w:hAnsi="Times New Roman" w:cs="Times New Roman"/>
          <w:sz w:val="28"/>
          <w:szCs w:val="28"/>
        </w:rPr>
        <w:t xml:space="preserve"> (Working Paper n. 52 – 2014). European Commission. https://ec.europa.eu/taxation_customs/sites/taxation/files/resources/documents/taxation/gen_info/economic_analysis/tax_papers/taxation_paper_52.pdf</w:t>
      </w:r>
    </w:p>
    <w:p w14:paraId="7761BF11"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lastRenderedPageBreak/>
        <w:t xml:space="preserve">Crivelli, E., de Mooij, R., &amp; Keen, M. (2016). Base Erosion, Profit Shifting and Developing Countries. </w:t>
      </w:r>
      <w:r w:rsidRPr="00C5141D">
        <w:rPr>
          <w:rFonts w:ascii="Times New Roman" w:hAnsi="Times New Roman" w:cs="Times New Roman"/>
          <w:i/>
          <w:iCs/>
          <w:sz w:val="28"/>
          <w:szCs w:val="28"/>
        </w:rPr>
        <w:t>FinanzArchiv: Public Finance Analysis</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72</w:t>
      </w:r>
      <w:r w:rsidRPr="00C5141D">
        <w:rPr>
          <w:rFonts w:ascii="Times New Roman" w:hAnsi="Times New Roman" w:cs="Times New Roman"/>
          <w:sz w:val="28"/>
          <w:szCs w:val="28"/>
        </w:rPr>
        <w:t>(3), 268–301. https://doi.org/info:doi/10.1628/001522116X14646834385460</w:t>
      </w:r>
    </w:p>
    <w:p w14:paraId="7BEBF991"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Diaz, E. B. (2019). Patent boxes and the erosion of trust in trade and in governance. </w:t>
      </w:r>
      <w:r w:rsidRPr="00C5141D">
        <w:rPr>
          <w:rFonts w:ascii="Times New Roman" w:hAnsi="Times New Roman" w:cs="Times New Roman"/>
          <w:i/>
          <w:iCs/>
          <w:sz w:val="28"/>
          <w:szCs w:val="28"/>
        </w:rPr>
        <w:t>International Journal of Public Law and Policy</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6</w:t>
      </w:r>
      <w:r w:rsidRPr="00C5141D">
        <w:rPr>
          <w:rFonts w:ascii="Times New Roman" w:hAnsi="Times New Roman" w:cs="Times New Roman"/>
          <w:sz w:val="28"/>
          <w:szCs w:val="28"/>
        </w:rPr>
        <w:t>(3), 270. https://doi.org/10.1504/IJPLAP.2019.102882</w:t>
      </w:r>
    </w:p>
    <w:p w14:paraId="26D21C66"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Ditz, X., &amp; Quilitzsch, C. (2017). Countering Harmful Tax Practices in Licensing of Rights: The New License Barrier Rule in Section 4j of the German Income Tax Act. </w:t>
      </w:r>
      <w:r w:rsidRPr="00C5141D">
        <w:rPr>
          <w:rFonts w:ascii="Times New Roman" w:hAnsi="Times New Roman" w:cs="Times New Roman"/>
          <w:i/>
          <w:iCs/>
          <w:sz w:val="28"/>
          <w:szCs w:val="28"/>
        </w:rPr>
        <w:t>Intertax</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45</w:t>
      </w:r>
      <w:r w:rsidRPr="00C5141D">
        <w:rPr>
          <w:rFonts w:ascii="Times New Roman" w:hAnsi="Times New Roman" w:cs="Times New Roman"/>
          <w:sz w:val="28"/>
          <w:szCs w:val="28"/>
        </w:rPr>
        <w:t>(12), 822–827.</w:t>
      </w:r>
    </w:p>
    <w:p w14:paraId="65983E1C"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Douglas Zhihua Zeng. (2010). </w:t>
      </w:r>
      <w:r w:rsidRPr="00C5141D">
        <w:rPr>
          <w:rFonts w:ascii="Times New Roman" w:hAnsi="Times New Roman" w:cs="Times New Roman"/>
          <w:i/>
          <w:iCs/>
          <w:sz w:val="28"/>
          <w:szCs w:val="28"/>
        </w:rPr>
        <w:t>Building Engines for Growth and Competitiveness in China: Experience with Special Economic Zones and Industrial Clusters</w:t>
      </w:r>
      <w:r w:rsidRPr="00C5141D">
        <w:rPr>
          <w:rFonts w:ascii="Times New Roman" w:hAnsi="Times New Roman" w:cs="Times New Roman"/>
          <w:sz w:val="28"/>
          <w:szCs w:val="28"/>
        </w:rPr>
        <w:t>. World bank. https://openknowledge.worldbank.org/bitstream/handle/10986/2501/564470PUB0buil10Box349496B01PUBLIC1.pdf?sequence=1&amp;isAllowed=y</w:t>
      </w:r>
    </w:p>
    <w:p w14:paraId="1C9395D6"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Ernst &amp; Young. (2018). </w:t>
      </w:r>
      <w:r w:rsidRPr="00C5141D">
        <w:rPr>
          <w:rFonts w:ascii="Times New Roman" w:hAnsi="Times New Roman" w:cs="Times New Roman"/>
          <w:i/>
          <w:iCs/>
          <w:sz w:val="28"/>
          <w:szCs w:val="28"/>
        </w:rPr>
        <w:t>Mauritius enacts changes to tax regime for corporations with global business licenses</w:t>
      </w:r>
      <w:r w:rsidRPr="00C5141D">
        <w:rPr>
          <w:rFonts w:ascii="Times New Roman" w:hAnsi="Times New Roman" w:cs="Times New Roman"/>
          <w:sz w:val="28"/>
          <w:szCs w:val="28"/>
        </w:rPr>
        <w:t xml:space="preserve"> (Global Tax Alert). https://www.ey.com/Publication/vwLUAssets/Mauritius_enacts_changes_to_tax_regime_for_corporations_with_global_business_licenses/$FILE/2018G_010429-18Gbl_Mauritius%20-%20Changes%20to%20tax%20regime%20for%20corps%20with%20global%20business%20licenses.pdf</w:t>
      </w:r>
    </w:p>
    <w:p w14:paraId="64E7E82A"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European Commission. (n.d.). </w:t>
      </w:r>
      <w:r w:rsidRPr="00C5141D">
        <w:rPr>
          <w:rFonts w:ascii="Times New Roman" w:hAnsi="Times New Roman" w:cs="Times New Roman"/>
          <w:i/>
          <w:iCs/>
          <w:sz w:val="28"/>
          <w:szCs w:val="28"/>
        </w:rPr>
        <w:t>State aid control</w:t>
      </w:r>
      <w:r w:rsidRPr="00C5141D">
        <w:rPr>
          <w:rFonts w:ascii="Times New Roman" w:hAnsi="Times New Roman" w:cs="Times New Roman"/>
          <w:sz w:val="28"/>
          <w:szCs w:val="28"/>
        </w:rPr>
        <w:t>. Retrieved 3 April 2020, from https://ec.europa.eu/competition/state_aid/overview/index_en.html</w:t>
      </w:r>
    </w:p>
    <w:p w14:paraId="2FC280A8"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FACTI Secretariat. (2020). </w:t>
      </w:r>
      <w:r w:rsidRPr="00C5141D">
        <w:rPr>
          <w:rFonts w:ascii="Times New Roman" w:hAnsi="Times New Roman" w:cs="Times New Roman"/>
          <w:i/>
          <w:iCs/>
          <w:sz w:val="28"/>
          <w:szCs w:val="28"/>
        </w:rPr>
        <w:t>Overview of existing international institutional and legal frameworks related to financial accountability, transparency and integrity</w:t>
      </w:r>
      <w:r w:rsidRPr="00C5141D">
        <w:rPr>
          <w:rFonts w:ascii="Times New Roman" w:hAnsi="Times New Roman" w:cs="Times New Roman"/>
          <w:sz w:val="28"/>
          <w:szCs w:val="28"/>
        </w:rPr>
        <w:t>. High-level Panel on International Financial Accountability, Transparency and Integrity for Achieving the 2030 Agenda (FACTI) Secretariat. https://assets.website-files.com/5e0bd9edab846816e263d633/5e8df72aec8ff1144d3773f3_FACTI%20BP%201%20Overview%20of%20frameworks.pdf</w:t>
      </w:r>
    </w:p>
    <w:p w14:paraId="53CE6800"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FATF, &amp; Egmont Group. (2013). </w:t>
      </w:r>
      <w:r w:rsidRPr="00C5141D">
        <w:rPr>
          <w:rFonts w:ascii="Times New Roman" w:hAnsi="Times New Roman" w:cs="Times New Roman"/>
          <w:i/>
          <w:iCs/>
          <w:sz w:val="28"/>
          <w:szCs w:val="28"/>
        </w:rPr>
        <w:t>Money laundering and terrorist financing through trade in diamonds</w:t>
      </w:r>
      <w:r w:rsidRPr="00C5141D">
        <w:rPr>
          <w:rFonts w:ascii="Times New Roman" w:hAnsi="Times New Roman" w:cs="Times New Roman"/>
          <w:sz w:val="28"/>
          <w:szCs w:val="28"/>
        </w:rPr>
        <w:t>. http://www.fatf-gafi.org/media/fatf/documents/reports/ML-TF-through-trade-in-diamonds.pdf</w:t>
      </w:r>
    </w:p>
    <w:p w14:paraId="30789FF8"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Financial Action Task Force. (2010). </w:t>
      </w:r>
      <w:r w:rsidRPr="00C5141D">
        <w:rPr>
          <w:rFonts w:ascii="Times New Roman" w:hAnsi="Times New Roman" w:cs="Times New Roman"/>
          <w:i/>
          <w:iCs/>
          <w:sz w:val="28"/>
          <w:szCs w:val="28"/>
        </w:rPr>
        <w:t>Money laundering vulnerabilities of free trade zones</w:t>
      </w:r>
      <w:r w:rsidRPr="00C5141D">
        <w:rPr>
          <w:rFonts w:ascii="Times New Roman" w:hAnsi="Times New Roman" w:cs="Times New Roman"/>
          <w:sz w:val="28"/>
          <w:szCs w:val="28"/>
        </w:rPr>
        <w:t>. http://www.fatf-gafi.org/media/fatf/documents/reports/ML%20vulnerabilities%20of%20Free%20Trade%20Zones.pdf</w:t>
      </w:r>
    </w:p>
    <w:p w14:paraId="1E9DAA03"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G24. (2019). </w:t>
      </w:r>
      <w:r w:rsidRPr="00C5141D">
        <w:rPr>
          <w:rFonts w:ascii="Times New Roman" w:hAnsi="Times New Roman" w:cs="Times New Roman"/>
          <w:i/>
          <w:iCs/>
          <w:sz w:val="28"/>
          <w:szCs w:val="28"/>
        </w:rPr>
        <w:t>Comments of the G-24 on the OECD Secretariat Proposal for a Unified Approach to the Nexus and Profit Allocation Challenges Arising from the Digitalisation (Pillar 1)</w:t>
      </w:r>
      <w:r w:rsidRPr="00C5141D">
        <w:rPr>
          <w:rFonts w:ascii="Times New Roman" w:hAnsi="Times New Roman" w:cs="Times New Roman"/>
          <w:sz w:val="28"/>
          <w:szCs w:val="28"/>
        </w:rPr>
        <w:t>. https://www.g24.org/wp-content/uploads/2019/12/G-24_Comments-on-OECD-Secretariat-Proposal-for-a-Unified-Approach.pdf</w:t>
      </w:r>
    </w:p>
    <w:p w14:paraId="2190026B"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Gaessler, F., Hall, B. H., &amp; Harhoff, D. (2018). </w:t>
      </w:r>
      <w:r w:rsidRPr="00C5141D">
        <w:rPr>
          <w:rFonts w:ascii="Times New Roman" w:hAnsi="Times New Roman" w:cs="Times New Roman"/>
          <w:i/>
          <w:iCs/>
          <w:sz w:val="28"/>
          <w:szCs w:val="28"/>
        </w:rPr>
        <w:t>Should there be lower taxes on patent income?</w:t>
      </w:r>
      <w:r w:rsidRPr="00C5141D">
        <w:rPr>
          <w:rFonts w:ascii="Times New Roman" w:hAnsi="Times New Roman" w:cs="Times New Roman"/>
          <w:sz w:val="28"/>
          <w:szCs w:val="28"/>
        </w:rPr>
        <w:t xml:space="preserve"> (p. 44). https://papers.ssrn.com/sol3/papers.cfm?abstract_id=3216471</w:t>
      </w:r>
    </w:p>
    <w:p w14:paraId="2CB987BB"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lastRenderedPageBreak/>
        <w:t>Law No 016/2018 of 13/04/2018 Establishing Taxes on Income, Pub. L. No. 016/2018 (2018). https://www.rra.gov.rw/fileadmin/user_upload/law_no_0162018.pdf</w:t>
      </w:r>
    </w:p>
    <w:p w14:paraId="6498E800"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Guenther, G. (2017). </w:t>
      </w:r>
      <w:r w:rsidRPr="00C5141D">
        <w:rPr>
          <w:rFonts w:ascii="Times New Roman" w:hAnsi="Times New Roman" w:cs="Times New Roman"/>
          <w:i/>
          <w:iCs/>
          <w:sz w:val="28"/>
          <w:szCs w:val="28"/>
        </w:rPr>
        <w:t>Patent Boxes: A Primer</w:t>
      </w:r>
      <w:r w:rsidRPr="00C5141D">
        <w:rPr>
          <w:rFonts w:ascii="Times New Roman" w:hAnsi="Times New Roman" w:cs="Times New Roman"/>
          <w:sz w:val="28"/>
          <w:szCs w:val="28"/>
        </w:rPr>
        <w:t xml:space="preserve"> (p. 28). Congressional Research Service. https://fas.org/sgp/crs/misc/R44829.pdf</w:t>
      </w:r>
    </w:p>
    <w:p w14:paraId="59092463"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Guerra, G. (2019). </w:t>
      </w:r>
      <w:r w:rsidRPr="00C5141D">
        <w:rPr>
          <w:rFonts w:ascii="Times New Roman" w:hAnsi="Times New Roman" w:cs="Times New Roman"/>
          <w:i/>
          <w:iCs/>
          <w:sz w:val="28"/>
          <w:szCs w:val="28"/>
        </w:rPr>
        <w:t>Ecuador—Corporate Taxation, Country Surveys IBFD</w:t>
      </w:r>
      <w:r w:rsidRPr="00C5141D">
        <w:rPr>
          <w:rFonts w:ascii="Times New Roman" w:hAnsi="Times New Roman" w:cs="Times New Roman"/>
          <w:sz w:val="28"/>
          <w:szCs w:val="28"/>
        </w:rPr>
        <w:t>. IBFD. https://research.ibfd.org/#/doc?url=/linkresolver/static/gtha_ec</w:t>
      </w:r>
    </w:p>
    <w:p w14:paraId="4EC5C261"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Haberly, D., &amp; Wójcik, D. (2015). Regional Blocks and Imperial Legacies: Mapping the Global Offshore FDI Network. </w:t>
      </w:r>
      <w:r w:rsidRPr="00C5141D">
        <w:rPr>
          <w:rFonts w:ascii="Times New Roman" w:hAnsi="Times New Roman" w:cs="Times New Roman"/>
          <w:i/>
          <w:iCs/>
          <w:sz w:val="28"/>
          <w:szCs w:val="28"/>
        </w:rPr>
        <w:t>Economic Geography</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91</w:t>
      </w:r>
      <w:r w:rsidRPr="00C5141D">
        <w:rPr>
          <w:rFonts w:ascii="Times New Roman" w:hAnsi="Times New Roman" w:cs="Times New Roman"/>
          <w:sz w:val="28"/>
          <w:szCs w:val="28"/>
        </w:rPr>
        <w:t>(3), 251–280. https://doi.org/10.1111/ecge.12078</w:t>
      </w:r>
    </w:p>
    <w:p w14:paraId="13BEE9F8"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Hakelberg, L., &amp; Rixen, T. (forthcoming). Is Neoliberalism Still Spreading? The Impact of International Cooperation on Capital Taxation. </w:t>
      </w:r>
      <w:r w:rsidRPr="00C5141D">
        <w:rPr>
          <w:rFonts w:ascii="Times New Roman" w:hAnsi="Times New Roman" w:cs="Times New Roman"/>
          <w:i/>
          <w:iCs/>
          <w:sz w:val="28"/>
          <w:szCs w:val="28"/>
        </w:rPr>
        <w:t>Forthcoming</w:t>
      </w:r>
      <w:r w:rsidRPr="00C5141D">
        <w:rPr>
          <w:rFonts w:ascii="Times New Roman" w:hAnsi="Times New Roman" w:cs="Times New Roman"/>
          <w:sz w:val="28"/>
          <w:szCs w:val="28"/>
        </w:rPr>
        <w:t>, 61.</w:t>
      </w:r>
    </w:p>
    <w:p w14:paraId="1E2283B2"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Hattingh, P. (2019). </w:t>
      </w:r>
      <w:r w:rsidRPr="00C5141D">
        <w:rPr>
          <w:rFonts w:ascii="Times New Roman" w:hAnsi="Times New Roman" w:cs="Times New Roman"/>
          <w:i/>
          <w:iCs/>
          <w:sz w:val="28"/>
          <w:szCs w:val="28"/>
        </w:rPr>
        <w:t>South Africa—Corporate Taxation, Country Analyses IBFD</w:t>
      </w:r>
      <w:r w:rsidRPr="00C5141D">
        <w:rPr>
          <w:rFonts w:ascii="Times New Roman" w:hAnsi="Times New Roman" w:cs="Times New Roman"/>
          <w:sz w:val="28"/>
          <w:szCs w:val="28"/>
        </w:rPr>
        <w:t>. IBFD. https://research.ibfd.org/#/doc?url=/linkresolver/static/cta_za</w:t>
      </w:r>
    </w:p>
    <w:p w14:paraId="2D230AC6"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Heady, C., &amp; Mansour, M. (2019). </w:t>
      </w:r>
      <w:r w:rsidRPr="00C5141D">
        <w:rPr>
          <w:rFonts w:ascii="Times New Roman" w:hAnsi="Times New Roman" w:cs="Times New Roman"/>
          <w:i/>
          <w:iCs/>
          <w:sz w:val="28"/>
          <w:szCs w:val="28"/>
        </w:rPr>
        <w:t>Tax Expenditure Reporting and Its Use in Fiscal Management A Guide for Developing Economies</w:t>
      </w:r>
      <w:r w:rsidRPr="00C5141D">
        <w:rPr>
          <w:rFonts w:ascii="Times New Roman" w:hAnsi="Times New Roman" w:cs="Times New Roman"/>
          <w:sz w:val="28"/>
          <w:szCs w:val="28"/>
        </w:rPr>
        <w:t>. INTERNATIONAL MONETARY FUND.</w:t>
      </w:r>
    </w:p>
    <w:p w14:paraId="34610FDE"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Hearson, M. (2016). </w:t>
      </w:r>
      <w:r w:rsidRPr="00C5141D">
        <w:rPr>
          <w:rFonts w:ascii="Times New Roman" w:hAnsi="Times New Roman" w:cs="Times New Roman"/>
          <w:i/>
          <w:iCs/>
          <w:sz w:val="28"/>
          <w:szCs w:val="28"/>
        </w:rPr>
        <w:t>Measuring Tax Treaty Negotiation Outcomes: The ActionAid Tax Treaties Dataset</w:t>
      </w:r>
      <w:r w:rsidRPr="00C5141D">
        <w:rPr>
          <w:rFonts w:ascii="Times New Roman" w:hAnsi="Times New Roman" w:cs="Times New Roman"/>
          <w:sz w:val="28"/>
          <w:szCs w:val="28"/>
        </w:rPr>
        <w:t xml:space="preserve"> (ICTD Working Paper 47). www.ictd.ac/ju-download/file/88-ictd-wp47-pdf/latest/download?2951319cb2220550f30e41fe8d5e70c7=1&amp;return=aHR0cCUzQSUyRiUyRnd3dy5pY3RkLmFjJTJGanUtZG93bmxvYWQlMkYyLXdvcmtpbmctcGFwZXJzJTJGOTktbWVhc3VyaW5nLXRheC10cmVhdHktbmVnb3RpYXRpb24tb3V0Y29tZXMtdGhlLWFjdGlvbmFpZC10YXgtdHJlYXRpZXMtZGF0YXNldA==</w:t>
      </w:r>
    </w:p>
    <w:p w14:paraId="0AAA8B7F"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Hearson, M. (2018). When Do Developing Countries Negotiate Away Their Corporate Tax Base? </w:t>
      </w:r>
      <w:r w:rsidRPr="00C5141D">
        <w:rPr>
          <w:rFonts w:ascii="Times New Roman" w:hAnsi="Times New Roman" w:cs="Times New Roman"/>
          <w:i/>
          <w:iCs/>
          <w:sz w:val="28"/>
          <w:szCs w:val="28"/>
        </w:rPr>
        <w:t>Journal of International Development</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30</w:t>
      </w:r>
      <w:r w:rsidRPr="00C5141D">
        <w:rPr>
          <w:rFonts w:ascii="Times New Roman" w:hAnsi="Times New Roman" w:cs="Times New Roman"/>
          <w:sz w:val="28"/>
          <w:szCs w:val="28"/>
        </w:rPr>
        <w:t>(2), 233–255. https://doi.org/10.1002/jid.3351</w:t>
      </w:r>
    </w:p>
    <w:p w14:paraId="4BB6446D"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Heinemann, F., Pfeiffer, O., Schwab, T., Spengel, C., Olbert, M., &amp; Stutzenberger, K. (2017). </w:t>
      </w:r>
      <w:r w:rsidRPr="00C5141D">
        <w:rPr>
          <w:rFonts w:ascii="Times New Roman" w:hAnsi="Times New Roman" w:cs="Times New Roman"/>
          <w:i/>
          <w:iCs/>
          <w:sz w:val="28"/>
          <w:szCs w:val="28"/>
        </w:rPr>
        <w:t>Analysis of US Corporate Tax Reform Proposals and their Effects for Europe and Germany</w:t>
      </w:r>
      <w:r w:rsidRPr="00C5141D">
        <w:rPr>
          <w:rFonts w:ascii="Times New Roman" w:hAnsi="Times New Roman" w:cs="Times New Roman"/>
          <w:sz w:val="28"/>
          <w:szCs w:val="28"/>
        </w:rPr>
        <w:t>. Zentrum für Europäische Wirtschaftsforschung, Mannheim.</w:t>
      </w:r>
    </w:p>
    <w:p w14:paraId="2A6BF9C4"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HM Revenue &amp; Customs. (2016, June 27). </w:t>
      </w:r>
      <w:r w:rsidRPr="00C5141D">
        <w:rPr>
          <w:rFonts w:ascii="Times New Roman" w:hAnsi="Times New Roman" w:cs="Times New Roman"/>
          <w:i/>
          <w:iCs/>
          <w:sz w:val="28"/>
          <w:szCs w:val="28"/>
        </w:rPr>
        <w:t>Deduction of income tax at source: Royalties</w:t>
      </w:r>
      <w:r w:rsidRPr="00C5141D">
        <w:rPr>
          <w:rFonts w:ascii="Times New Roman" w:hAnsi="Times New Roman" w:cs="Times New Roman"/>
          <w:sz w:val="28"/>
          <w:szCs w:val="28"/>
        </w:rPr>
        <w:t>. https://assets.publishing.service.gov.uk/government/uploads/system/uploads/attachment_data/file/532314/M1070_revised_TN_final.pdf</w:t>
      </w:r>
    </w:p>
    <w:p w14:paraId="0B59AAD3"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ICIJ. (2014). Luxembourg Leaks: Global Companies’ Secrets Exposed. </w:t>
      </w:r>
      <w:r w:rsidRPr="00C5141D">
        <w:rPr>
          <w:rFonts w:ascii="Times New Roman" w:hAnsi="Times New Roman" w:cs="Times New Roman"/>
          <w:i/>
          <w:iCs/>
          <w:sz w:val="28"/>
          <w:szCs w:val="28"/>
        </w:rPr>
        <w:t>ICIJ</w:t>
      </w:r>
      <w:r w:rsidRPr="00C5141D">
        <w:rPr>
          <w:rFonts w:ascii="Times New Roman" w:hAnsi="Times New Roman" w:cs="Times New Roman"/>
          <w:sz w:val="28"/>
          <w:szCs w:val="28"/>
        </w:rPr>
        <w:t>. https://www.icij.org/investigations/luxembourg-leaks/</w:t>
      </w:r>
    </w:p>
    <w:p w14:paraId="09FB133C"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Independent Commission for the Reform of International Corporate (ICRICT), &amp; Taxation. (2018). </w:t>
      </w:r>
      <w:r w:rsidRPr="00C5141D">
        <w:rPr>
          <w:rFonts w:ascii="Times New Roman" w:hAnsi="Times New Roman" w:cs="Times New Roman"/>
          <w:i/>
          <w:iCs/>
          <w:sz w:val="28"/>
          <w:szCs w:val="28"/>
        </w:rPr>
        <w:t>A Roadmap To Improve Rules for Taxing Multinationals. A Fairer Future For Global Taxation</w:t>
      </w:r>
      <w:r w:rsidRPr="00C5141D">
        <w:rPr>
          <w:rFonts w:ascii="Times New Roman" w:hAnsi="Times New Roman" w:cs="Times New Roman"/>
          <w:sz w:val="28"/>
          <w:szCs w:val="28"/>
        </w:rPr>
        <w:t>. https://static1.squarespace.com/static/5a0c602bf43b5594845abb81/t/5a78e690</w:t>
      </w:r>
      <w:r w:rsidRPr="00C5141D">
        <w:rPr>
          <w:rFonts w:ascii="Times New Roman" w:hAnsi="Times New Roman" w:cs="Times New Roman"/>
          <w:sz w:val="28"/>
          <w:szCs w:val="28"/>
        </w:rPr>
        <w:lastRenderedPageBreak/>
        <w:t>9140b73efc08eab6/1517872798080/ICRICT+Unitary+Taxation+Eng+Feb2018.pdf</w:t>
      </w:r>
    </w:p>
    <w:p w14:paraId="001D8937"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Independent Commission for the Reform of International Corporate Taxation. (2019). </w:t>
      </w:r>
      <w:r w:rsidRPr="00C5141D">
        <w:rPr>
          <w:rFonts w:ascii="Times New Roman" w:hAnsi="Times New Roman" w:cs="Times New Roman"/>
          <w:i/>
          <w:iCs/>
          <w:sz w:val="28"/>
          <w:szCs w:val="28"/>
        </w:rPr>
        <w:t>International corporate tax reform: Towards a fair and comprehensive solution</w:t>
      </w:r>
      <w:r w:rsidRPr="00C5141D">
        <w:rPr>
          <w:rFonts w:ascii="Times New Roman" w:hAnsi="Times New Roman" w:cs="Times New Roman"/>
          <w:sz w:val="28"/>
          <w:szCs w:val="28"/>
        </w:rPr>
        <w:t>. https://static1.squarespace.com/static/5a0c602bf43b5594845abb81/t/5d979e6dc5f7cb7b66842c49/1570217588721/ICRICT-INTERNATIONAL+CORPORATE+TAX+REFORM.pdf</w:t>
      </w:r>
    </w:p>
    <w:p w14:paraId="0825C11A"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Independent Commission for the Reform of International, &amp; Corporate Taxation (ICRICT). (2019). </w:t>
      </w:r>
      <w:r w:rsidRPr="00C5141D">
        <w:rPr>
          <w:rFonts w:ascii="Times New Roman" w:hAnsi="Times New Roman" w:cs="Times New Roman"/>
          <w:i/>
          <w:iCs/>
          <w:sz w:val="28"/>
          <w:szCs w:val="28"/>
        </w:rPr>
        <w:t>The Fight Against Tax Avoidance—BEPS 2.0: What the OECD BEPS Process has achieved and what real reform should look like</w:t>
      </w:r>
      <w:r w:rsidRPr="00C5141D">
        <w:rPr>
          <w:rFonts w:ascii="Times New Roman" w:hAnsi="Times New Roman" w:cs="Times New Roman"/>
          <w:sz w:val="28"/>
          <w:szCs w:val="28"/>
        </w:rPr>
        <w:t>. https://static1.squarespace.com/static/5a0c602bf43b5594845abb81/t/5c409495f950b7e303b71a45/1547736215689/thefightagainsttaxavoidance_FINAL.pdf</w:t>
      </w:r>
    </w:p>
    <w:p w14:paraId="2B6DA5D1"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Independent Commission for the Reform of International Corporate Taxation (ICRICT). (2019). </w:t>
      </w:r>
      <w:r w:rsidRPr="00C5141D">
        <w:rPr>
          <w:rFonts w:ascii="Times New Roman" w:hAnsi="Times New Roman" w:cs="Times New Roman"/>
          <w:i/>
          <w:iCs/>
          <w:sz w:val="28"/>
          <w:szCs w:val="28"/>
        </w:rPr>
        <w:t>International corporate tax reform: Towards a fair and comprehensive solution</w:t>
      </w:r>
      <w:r w:rsidRPr="00C5141D">
        <w:rPr>
          <w:rFonts w:ascii="Times New Roman" w:hAnsi="Times New Roman" w:cs="Times New Roman"/>
          <w:sz w:val="28"/>
          <w:szCs w:val="28"/>
        </w:rPr>
        <w:t>. https://static1.squarespace.com/static/5a0c602bf43b5594845abb81/t/5d979e6dc5f7cb7b66842c49/1570217588721/ICRICT-INTERNATIONAL+CORPORATE+TAX+REFORM.pdf</w:t>
      </w:r>
    </w:p>
    <w:p w14:paraId="287EFA97"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International Monetary Fund. (2014). </w:t>
      </w:r>
      <w:r w:rsidRPr="00C5141D">
        <w:rPr>
          <w:rFonts w:ascii="Times New Roman" w:hAnsi="Times New Roman" w:cs="Times New Roman"/>
          <w:i/>
          <w:iCs/>
          <w:sz w:val="28"/>
          <w:szCs w:val="28"/>
        </w:rPr>
        <w:t>Spillovers in international corporate taxation</w:t>
      </w:r>
      <w:r w:rsidRPr="00C5141D">
        <w:rPr>
          <w:rFonts w:ascii="Times New Roman" w:hAnsi="Times New Roman" w:cs="Times New Roman"/>
          <w:sz w:val="28"/>
          <w:szCs w:val="28"/>
        </w:rPr>
        <w:t xml:space="preserve"> [IMF Policy Briefs]. https://www.imf.org/external/np/pp/eng/2014/050914.pdf</w:t>
      </w:r>
    </w:p>
    <w:p w14:paraId="2A603BE0"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International Monetary Fund, OECD, United Nations, &amp; World Bank. (2015). </w:t>
      </w:r>
      <w:r w:rsidRPr="00C5141D">
        <w:rPr>
          <w:rFonts w:ascii="Times New Roman" w:hAnsi="Times New Roman" w:cs="Times New Roman"/>
          <w:i/>
          <w:iCs/>
          <w:sz w:val="28"/>
          <w:szCs w:val="28"/>
        </w:rPr>
        <w:t>Options for Low Income Countries Effective and Efficient Use of Tax Incentives for Investment: A Report to the G-20 Development Working Group by the IMF, OECD, UN and World Bank</w:t>
      </w:r>
      <w:r w:rsidRPr="00C5141D">
        <w:rPr>
          <w:rFonts w:ascii="Times New Roman" w:hAnsi="Times New Roman" w:cs="Times New Roman"/>
          <w:sz w:val="28"/>
          <w:szCs w:val="28"/>
        </w:rPr>
        <w:t>. World Bank. https://doi.org/10.1596/22923</w:t>
      </w:r>
    </w:p>
    <w:p w14:paraId="48E5C75F"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Klemm, A. D., &amp; van Parys, S. (2009). </w:t>
      </w:r>
      <w:r w:rsidRPr="00C5141D">
        <w:rPr>
          <w:rFonts w:ascii="Times New Roman" w:hAnsi="Times New Roman" w:cs="Times New Roman"/>
          <w:i/>
          <w:iCs/>
          <w:sz w:val="28"/>
          <w:szCs w:val="28"/>
        </w:rPr>
        <w:t>Empirical Evidence on the Effects of Tax Incentives</w:t>
      </w:r>
      <w:r w:rsidRPr="00C5141D">
        <w:rPr>
          <w:rFonts w:ascii="Times New Roman" w:hAnsi="Times New Roman" w:cs="Times New Roman"/>
          <w:sz w:val="28"/>
          <w:szCs w:val="28"/>
        </w:rPr>
        <w:t xml:space="preserve"> (No. 09/136; Working Paper). International Monetary Fund. https://www.imf.org/en/Publications/WP/Issues/2016/12/31/Empirical-Evidenceon-the-Effects-of-Tax-Incentives-23053</w:t>
      </w:r>
    </w:p>
    <w:p w14:paraId="321E522E"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Ku, J.-C., &amp; Mulder, T. (2018, March 5). Netherlands reveals plan for new withholding tax regime, increased substance requirements. </w:t>
      </w:r>
      <w:r w:rsidRPr="00C5141D">
        <w:rPr>
          <w:rFonts w:ascii="Times New Roman" w:hAnsi="Times New Roman" w:cs="Times New Roman"/>
          <w:i/>
          <w:iCs/>
          <w:sz w:val="28"/>
          <w:szCs w:val="28"/>
        </w:rPr>
        <w:t>MNE Tax</w:t>
      </w:r>
      <w:r w:rsidRPr="00C5141D">
        <w:rPr>
          <w:rFonts w:ascii="Times New Roman" w:hAnsi="Times New Roman" w:cs="Times New Roman"/>
          <w:sz w:val="28"/>
          <w:szCs w:val="28"/>
        </w:rPr>
        <w:t>. https://mnetax.com/netherlands-reveals-plan-new-withholding-tax-regime-increased-substance-requirements-26384</w:t>
      </w:r>
    </w:p>
    <w:p w14:paraId="50437598"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Le Billon, P. (2008). </w:t>
      </w:r>
      <w:r w:rsidRPr="00C5141D">
        <w:rPr>
          <w:rFonts w:ascii="Times New Roman" w:hAnsi="Times New Roman" w:cs="Times New Roman"/>
          <w:i/>
          <w:iCs/>
          <w:sz w:val="28"/>
          <w:szCs w:val="28"/>
        </w:rPr>
        <w:t>Resources for Peace?: Managing Revenues from Extractive Industries in Post-Conflict Environments</w:t>
      </w:r>
      <w:r w:rsidRPr="00C5141D">
        <w:rPr>
          <w:rFonts w:ascii="Times New Roman" w:hAnsi="Times New Roman" w:cs="Times New Roman"/>
          <w:sz w:val="28"/>
          <w:szCs w:val="28"/>
        </w:rPr>
        <w:t xml:space="preserve"> (No. 167; Working Paper Series). Political Economy Research Institute (PERI), University of Massachusetts-Amherst. https://scholarworks.umass.edu/cgi/viewcontent.cgi?article=1138&amp;context=peri_workingpapers</w:t>
      </w:r>
    </w:p>
    <w:p w14:paraId="47031B9D"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Logunov, D. (2018). </w:t>
      </w:r>
      <w:r w:rsidRPr="00C5141D">
        <w:rPr>
          <w:rFonts w:ascii="Times New Roman" w:hAnsi="Times New Roman" w:cs="Times New Roman"/>
          <w:i/>
          <w:iCs/>
          <w:sz w:val="28"/>
          <w:szCs w:val="28"/>
        </w:rPr>
        <w:t>Tanzania—Corporate Taxation, Country Surveys</w:t>
      </w:r>
      <w:r w:rsidRPr="00C5141D">
        <w:rPr>
          <w:rFonts w:ascii="Times New Roman" w:hAnsi="Times New Roman" w:cs="Times New Roman"/>
          <w:sz w:val="28"/>
          <w:szCs w:val="28"/>
        </w:rPr>
        <w:t>. International Bureau of Fiscal Documentation. https://online.ibfd.org/document/gtha_tz</w:t>
      </w:r>
    </w:p>
    <w:p w14:paraId="5D47363E"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Loretz, S., Sellner, R., Brandl, B., Arachi, G., Bucci, V., van’t Riet, M., &amp; Aouragh, A. (2017). </w:t>
      </w:r>
      <w:r w:rsidRPr="00C5141D">
        <w:rPr>
          <w:rFonts w:ascii="Times New Roman" w:hAnsi="Times New Roman" w:cs="Times New Roman"/>
          <w:i/>
          <w:iCs/>
          <w:sz w:val="28"/>
          <w:szCs w:val="28"/>
        </w:rPr>
        <w:t>Aggressive tax planning indicators. Final Report</w:t>
      </w:r>
      <w:r w:rsidRPr="00C5141D">
        <w:rPr>
          <w:rFonts w:ascii="Times New Roman" w:hAnsi="Times New Roman" w:cs="Times New Roman"/>
          <w:sz w:val="28"/>
          <w:szCs w:val="28"/>
        </w:rPr>
        <w:t xml:space="preserve"> (European </w:t>
      </w:r>
      <w:r w:rsidRPr="00C5141D">
        <w:rPr>
          <w:rFonts w:ascii="Times New Roman" w:hAnsi="Times New Roman" w:cs="Times New Roman"/>
          <w:sz w:val="28"/>
          <w:szCs w:val="28"/>
        </w:rPr>
        <w:lastRenderedPageBreak/>
        <w:t>Commission - TAXUD/2016/DE/319). https://ec.europa.eu/taxation_customs/sites/taxation/files/taxation_papers_71_atp_.pdf</w:t>
      </w:r>
    </w:p>
    <w:p w14:paraId="0FF8CB0F"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Mansour, M., &amp; Keen, M. (2009). </w:t>
      </w:r>
      <w:r w:rsidRPr="00C5141D">
        <w:rPr>
          <w:rFonts w:ascii="Times New Roman" w:hAnsi="Times New Roman" w:cs="Times New Roman"/>
          <w:i/>
          <w:iCs/>
          <w:sz w:val="28"/>
          <w:szCs w:val="28"/>
        </w:rPr>
        <w:t>Revenue Mobilization in Sub-Saharan Africa: Challenges from Globalization</w:t>
      </w:r>
      <w:r w:rsidRPr="00C5141D">
        <w:rPr>
          <w:rFonts w:ascii="Times New Roman" w:hAnsi="Times New Roman" w:cs="Times New Roman"/>
          <w:sz w:val="28"/>
          <w:szCs w:val="28"/>
        </w:rPr>
        <w:t xml:space="preserve"> (No. 09/157; Working Paper). International Monetary Fund. https://www.imf.org/en/Publications/WP/Issues/2016/12/31/Revenue-Mobilization-in-Sub-Saharan-Africa-Challenges-from-Globalization-23124</w:t>
      </w:r>
    </w:p>
    <w:p w14:paraId="5692AC74"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McNabb, K., &amp; LeMay-Boucher, P. (2014). </w:t>
      </w:r>
      <w:r w:rsidRPr="00C5141D">
        <w:rPr>
          <w:rFonts w:ascii="Times New Roman" w:hAnsi="Times New Roman" w:cs="Times New Roman"/>
          <w:i/>
          <w:iCs/>
          <w:sz w:val="28"/>
          <w:szCs w:val="28"/>
        </w:rPr>
        <w:t>Tax Structures, Economic Growth And Development</w:t>
      </w:r>
      <w:r w:rsidRPr="00C5141D">
        <w:rPr>
          <w:rFonts w:ascii="Times New Roman" w:hAnsi="Times New Roman" w:cs="Times New Roman"/>
          <w:sz w:val="28"/>
          <w:szCs w:val="28"/>
        </w:rPr>
        <w:t xml:space="preserve"> (SSRN Scholarly Paper ID 2496470). Social Science Research Network. https://doi.org/10.2139/ssrn.2496470</w:t>
      </w:r>
    </w:p>
    <w:p w14:paraId="53EECC36"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Meinzer, M. (2019). </w:t>
      </w:r>
      <w:r w:rsidRPr="00C5141D">
        <w:rPr>
          <w:rFonts w:ascii="Times New Roman" w:hAnsi="Times New Roman" w:cs="Times New Roman"/>
          <w:i/>
          <w:iCs/>
          <w:sz w:val="28"/>
          <w:szCs w:val="28"/>
        </w:rPr>
        <w:t>Countering cross-border tax evasion and avoidance: An assessment of OECD policy design from 2008 to 2018</w:t>
      </w:r>
      <w:r w:rsidRPr="00C5141D">
        <w:rPr>
          <w:rFonts w:ascii="Times New Roman" w:hAnsi="Times New Roman" w:cs="Times New Roman"/>
          <w:sz w:val="28"/>
          <w:szCs w:val="28"/>
        </w:rPr>
        <w:t xml:space="preserve"> [Utrecht University]. http://coffers.eu/wp-content/uploads/2019/10/1910-Meinzer-PhD-Dissertation-OECD-Tax-Policies.pdf</w:t>
      </w:r>
    </w:p>
    <w:p w14:paraId="0B1D06F1"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Meinzer, M., Ndajiwo, M., Etter-Phoya, R., &amp; Diakité, M. (2019). </w:t>
      </w:r>
      <w:r w:rsidRPr="00C5141D">
        <w:rPr>
          <w:rFonts w:ascii="Times New Roman" w:hAnsi="Times New Roman" w:cs="Times New Roman"/>
          <w:i/>
          <w:iCs/>
          <w:sz w:val="28"/>
          <w:szCs w:val="28"/>
        </w:rPr>
        <w:t>Comparing tax incentives across jurisdictions: A pilot study</w:t>
      </w:r>
      <w:r w:rsidRPr="00C5141D">
        <w:rPr>
          <w:rFonts w:ascii="Times New Roman" w:hAnsi="Times New Roman" w:cs="Times New Roman"/>
          <w:sz w:val="28"/>
          <w:szCs w:val="28"/>
        </w:rPr>
        <w:t xml:space="preserve"> (p. 43). https://www.taxjustice.net/wp-content/uploads/2018/12/Comparing-tax-incentives-across-jurisdictions_Tax-Justice-Network_2019.pdf</w:t>
      </w:r>
    </w:p>
    <w:p w14:paraId="739FFE6D"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Millán-Narotzky, L., Garcia-Bernardo, J., Diakité, M., &amp; Meinzer, M. (Forthcoming). </w:t>
      </w:r>
      <w:r w:rsidRPr="00C5141D">
        <w:rPr>
          <w:rFonts w:ascii="Times New Roman" w:hAnsi="Times New Roman" w:cs="Times New Roman"/>
          <w:i/>
          <w:iCs/>
          <w:sz w:val="28"/>
          <w:szCs w:val="28"/>
        </w:rPr>
        <w:t>Double Tax Treaty Aggressiveness: Who is bringing down taxing rights in Africa?</w:t>
      </w:r>
      <w:r w:rsidRPr="00C5141D">
        <w:rPr>
          <w:rFonts w:ascii="Times New Roman" w:hAnsi="Times New Roman" w:cs="Times New Roman"/>
          <w:sz w:val="28"/>
          <w:szCs w:val="28"/>
        </w:rPr>
        <w:t xml:space="preserve"> Tax Justice Network / ICTD.</w:t>
      </w:r>
    </w:p>
    <w:p w14:paraId="5BF08240"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Moore, M., Prichard, W., &amp; Fjeldstad, O.-H. (2018). </w:t>
      </w:r>
      <w:r w:rsidRPr="00C5141D">
        <w:rPr>
          <w:rFonts w:ascii="Times New Roman" w:hAnsi="Times New Roman" w:cs="Times New Roman"/>
          <w:i/>
          <w:iCs/>
          <w:sz w:val="28"/>
          <w:szCs w:val="28"/>
        </w:rPr>
        <w:t>Taxing Africa. Coercion, Reform and Development</w:t>
      </w:r>
      <w:r w:rsidRPr="00C5141D">
        <w:rPr>
          <w:rFonts w:ascii="Times New Roman" w:hAnsi="Times New Roman" w:cs="Times New Roman"/>
          <w:sz w:val="28"/>
          <w:szCs w:val="28"/>
        </w:rPr>
        <w:t>. Zed.</w:t>
      </w:r>
    </w:p>
    <w:p w14:paraId="34C1A565"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Morse, S. C. (2018). International Cooperation and the 2017 Tax Act. </w:t>
      </w:r>
      <w:r w:rsidRPr="00C5141D">
        <w:rPr>
          <w:rFonts w:ascii="Times New Roman" w:hAnsi="Times New Roman" w:cs="Times New Roman"/>
          <w:i/>
          <w:iCs/>
          <w:sz w:val="28"/>
          <w:szCs w:val="28"/>
        </w:rPr>
        <w:t>The Yale Law Journal Forum</w:t>
      </w:r>
      <w:r w:rsidRPr="00C5141D">
        <w:rPr>
          <w:rFonts w:ascii="Times New Roman" w:hAnsi="Times New Roman" w:cs="Times New Roman"/>
          <w:sz w:val="28"/>
          <w:szCs w:val="28"/>
        </w:rPr>
        <w:t>. https://www.yalelawjournal.org/pdf/Morse_ac1hex9k.pdf</w:t>
      </w:r>
    </w:p>
    <w:p w14:paraId="03F2ECDC"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Mosquera, V. I. J. (2018). Output Legitimacy Deficits and the Inclusive Framework of the OECD/G20 Base Erosion and Profit Shifting Initiative. </w:t>
      </w:r>
      <w:r w:rsidRPr="00C5141D">
        <w:rPr>
          <w:rFonts w:ascii="Times New Roman" w:hAnsi="Times New Roman" w:cs="Times New Roman"/>
          <w:i/>
          <w:iCs/>
          <w:sz w:val="28"/>
          <w:szCs w:val="28"/>
        </w:rPr>
        <w:t>Bulletin for International Taxation</w:t>
      </w:r>
      <w:r w:rsidRPr="00C5141D">
        <w:rPr>
          <w:rFonts w:ascii="Times New Roman" w:hAnsi="Times New Roman" w:cs="Times New Roman"/>
          <w:sz w:val="28"/>
          <w:szCs w:val="28"/>
        </w:rPr>
        <w:t>. https://openaccess.leidenuniv.nl/handle/1887/59348</w:t>
      </w:r>
    </w:p>
    <w:p w14:paraId="19756D3F"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Mwanyumba, R., Maranga, J., &amp; Magare, M. (2017). </w:t>
      </w:r>
      <w:r w:rsidRPr="00C5141D">
        <w:rPr>
          <w:rFonts w:ascii="Times New Roman" w:hAnsi="Times New Roman" w:cs="Times New Roman"/>
          <w:i/>
          <w:iCs/>
          <w:sz w:val="28"/>
          <w:szCs w:val="28"/>
        </w:rPr>
        <w:t>A review of the Nairobi International Financial Centre: Nairobi International Financial Centre or Nairobi Tax Haven</w:t>
      </w:r>
      <w:r w:rsidRPr="00C5141D">
        <w:rPr>
          <w:rFonts w:ascii="Times New Roman" w:hAnsi="Times New Roman" w:cs="Times New Roman"/>
          <w:sz w:val="28"/>
          <w:szCs w:val="28"/>
        </w:rPr>
        <w:t>. Vienna Institute for International Dialogue and Cooperation. https://www.globaltaxjustice.org/sites/default/files/nairobi%20tax%20haven%20NIFC.pdf</w:t>
      </w:r>
    </w:p>
    <w:p w14:paraId="48ECBBA4"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Ndikumana, L., &amp; Boyce, J. K. (2018). </w:t>
      </w:r>
      <w:r w:rsidRPr="00C5141D">
        <w:rPr>
          <w:rFonts w:ascii="Times New Roman" w:hAnsi="Times New Roman" w:cs="Times New Roman"/>
          <w:i/>
          <w:iCs/>
          <w:sz w:val="28"/>
          <w:szCs w:val="28"/>
        </w:rPr>
        <w:t>Capital Flight From Africa: Updated Methodology and New Estimates</w:t>
      </w:r>
      <w:r w:rsidRPr="00C5141D">
        <w:rPr>
          <w:rFonts w:ascii="Times New Roman" w:hAnsi="Times New Roman" w:cs="Times New Roman"/>
          <w:sz w:val="28"/>
          <w:szCs w:val="28"/>
        </w:rPr>
        <w:t xml:space="preserve"> [PERI Research Report]. Political Economy Research Institute (PERI), University of Massachusetts-Amherst. https://www.peri.umass.edu/publication/item/1083-capital-flight-from-africa-updated-methodology-and-new-estimates</w:t>
      </w:r>
    </w:p>
    <w:p w14:paraId="3CE74D6F"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lastRenderedPageBreak/>
        <w:t xml:space="preserve">Ndubai, J. (2018). </w:t>
      </w:r>
      <w:r w:rsidRPr="00C5141D">
        <w:rPr>
          <w:rFonts w:ascii="Times New Roman" w:hAnsi="Times New Roman" w:cs="Times New Roman"/>
          <w:i/>
          <w:iCs/>
          <w:sz w:val="28"/>
          <w:szCs w:val="28"/>
        </w:rPr>
        <w:t>Narrative Report on Kenya</w:t>
      </w:r>
      <w:r w:rsidRPr="00C5141D">
        <w:rPr>
          <w:rFonts w:ascii="Times New Roman" w:hAnsi="Times New Roman" w:cs="Times New Roman"/>
          <w:sz w:val="28"/>
          <w:szCs w:val="28"/>
        </w:rPr>
        <w:t xml:space="preserve"> (Financial Secrecy Index 2018). Tax Justice Network; Tax Justice Network Africa. https://www.financialsecrecyindex.com/PDF/Kenya.pdf</w:t>
      </w:r>
    </w:p>
    <w:p w14:paraId="10926069"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Niwenshuti, R. (2019). </w:t>
      </w:r>
      <w:r w:rsidRPr="00C5141D">
        <w:rPr>
          <w:rFonts w:ascii="Times New Roman" w:hAnsi="Times New Roman" w:cs="Times New Roman"/>
          <w:i/>
          <w:iCs/>
          <w:sz w:val="28"/>
          <w:szCs w:val="28"/>
        </w:rPr>
        <w:t>Rwanda—Corporate Taxation, Country Surveys IBFD</w:t>
      </w:r>
      <w:r w:rsidRPr="00C5141D">
        <w:rPr>
          <w:rFonts w:ascii="Times New Roman" w:hAnsi="Times New Roman" w:cs="Times New Roman"/>
          <w:sz w:val="28"/>
          <w:szCs w:val="28"/>
        </w:rPr>
        <w:t>. IBFD. https://research.ibfd.org/#/doc?url=/linkresolver/static/gtha_rw</w:t>
      </w:r>
    </w:p>
    <w:p w14:paraId="5A8961C0"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(2015a). </w:t>
      </w:r>
      <w:r w:rsidRPr="00C5141D">
        <w:rPr>
          <w:rFonts w:ascii="Times New Roman" w:hAnsi="Times New Roman" w:cs="Times New Roman"/>
          <w:i/>
          <w:iCs/>
          <w:sz w:val="28"/>
          <w:szCs w:val="28"/>
        </w:rPr>
        <w:t>Action 5: Agreement on Modified Nexus Approach for IP Regimes</w:t>
      </w:r>
      <w:r w:rsidRPr="00C5141D">
        <w:rPr>
          <w:rFonts w:ascii="Times New Roman" w:hAnsi="Times New Roman" w:cs="Times New Roman"/>
          <w:sz w:val="28"/>
          <w:szCs w:val="28"/>
        </w:rPr>
        <w:t>. OECD. http://www.oecd.org/ctp/beps-action-5-agreement-on-modified-nexus-approach-for-ip-regimes.pdf</w:t>
      </w:r>
    </w:p>
    <w:p w14:paraId="6377F923"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(2015b). </w:t>
      </w:r>
      <w:r w:rsidRPr="00C5141D">
        <w:rPr>
          <w:rFonts w:ascii="Times New Roman" w:hAnsi="Times New Roman" w:cs="Times New Roman"/>
          <w:i/>
          <w:iCs/>
          <w:sz w:val="28"/>
          <w:szCs w:val="28"/>
        </w:rPr>
        <w:t>Explanatory paper: Agreement on Modified Nexus Approach for IP Regimes</w:t>
      </w:r>
      <w:r w:rsidRPr="00C5141D">
        <w:rPr>
          <w:rFonts w:ascii="Times New Roman" w:hAnsi="Times New Roman" w:cs="Times New Roman"/>
          <w:sz w:val="28"/>
          <w:szCs w:val="28"/>
        </w:rPr>
        <w:t>. https://www.oecd.org/ctp/explanatory-paper-beps-action-5-agreement-on-modified-nexus-approach-for-ip-regimes.pdf</w:t>
      </w:r>
    </w:p>
    <w:p w14:paraId="0C9D8D42"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(2015c). </w:t>
      </w:r>
      <w:r w:rsidRPr="00C5141D">
        <w:rPr>
          <w:rFonts w:ascii="Times New Roman" w:hAnsi="Times New Roman" w:cs="Times New Roman"/>
          <w:i/>
          <w:iCs/>
          <w:sz w:val="28"/>
          <w:szCs w:val="28"/>
        </w:rPr>
        <w:t>Implementing the latest international standards for compiling foreign direct investment statistics. FDI Statistics by the Ultimate Investing Country</w:t>
      </w:r>
      <w:r w:rsidRPr="00C5141D">
        <w:rPr>
          <w:rFonts w:ascii="Times New Roman" w:hAnsi="Times New Roman" w:cs="Times New Roman"/>
          <w:sz w:val="28"/>
          <w:szCs w:val="28"/>
        </w:rPr>
        <w:t>. https://www.oecd.org/daf/inv/FDI-statistics-by-ultimate-investing-country.pdf</w:t>
      </w:r>
    </w:p>
    <w:p w14:paraId="1340D2C7"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(2015d). </w:t>
      </w:r>
      <w:r w:rsidRPr="00C5141D">
        <w:rPr>
          <w:rFonts w:ascii="Times New Roman" w:hAnsi="Times New Roman" w:cs="Times New Roman"/>
          <w:i/>
          <w:iCs/>
          <w:sz w:val="28"/>
          <w:szCs w:val="28"/>
        </w:rPr>
        <w:t>Limiting Base Erosion Involving Interest Deductions and Other Financial Payments, Action 4—2015 Final Report</w:t>
      </w:r>
      <w:r w:rsidRPr="00C5141D">
        <w:rPr>
          <w:rFonts w:ascii="Times New Roman" w:hAnsi="Times New Roman" w:cs="Times New Roman"/>
          <w:sz w:val="28"/>
          <w:szCs w:val="28"/>
        </w:rPr>
        <w:t>. OECD. https://www.oecd-ilibrary.org/docserver/9789264241176-en.pdf?expires=1557996390&amp;id=id&amp;accname=guest&amp;checksum=4C61C67D7652BE5C0ABF0421567F6774</w:t>
      </w:r>
    </w:p>
    <w:p w14:paraId="38E2DFCE"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(2015e). </w:t>
      </w:r>
      <w:r w:rsidRPr="00C5141D">
        <w:rPr>
          <w:rFonts w:ascii="Times New Roman" w:hAnsi="Times New Roman" w:cs="Times New Roman"/>
          <w:i/>
          <w:iCs/>
          <w:sz w:val="28"/>
          <w:szCs w:val="28"/>
        </w:rPr>
        <w:t>Countering Harmful Tax Practices More Effectively, Taking into Account Transparency and Substance, Action 5—2015 Final Report</w:t>
      </w:r>
      <w:r w:rsidRPr="00C5141D">
        <w:rPr>
          <w:rFonts w:ascii="Times New Roman" w:hAnsi="Times New Roman" w:cs="Times New Roman"/>
          <w:sz w:val="28"/>
          <w:szCs w:val="28"/>
        </w:rPr>
        <w:t>. OECD Publishing. https://doi.org/10.1787/9789264241190-en</w:t>
      </w:r>
    </w:p>
    <w:p w14:paraId="72B0AE8F"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(2015f). </w:t>
      </w:r>
      <w:r w:rsidRPr="00C5141D">
        <w:rPr>
          <w:rFonts w:ascii="Times New Roman" w:hAnsi="Times New Roman" w:cs="Times New Roman"/>
          <w:i/>
          <w:iCs/>
          <w:sz w:val="28"/>
          <w:szCs w:val="28"/>
        </w:rPr>
        <w:t>Measuring and Monitoring BEPS, Action 11—2015 Final Report</w:t>
      </w:r>
      <w:r w:rsidRPr="00C5141D">
        <w:rPr>
          <w:rFonts w:ascii="Times New Roman" w:hAnsi="Times New Roman" w:cs="Times New Roman"/>
          <w:sz w:val="28"/>
          <w:szCs w:val="28"/>
        </w:rPr>
        <w:t>. OECD. https://doi.org/10.1787/9789264241343-en</w:t>
      </w:r>
    </w:p>
    <w:p w14:paraId="7F25A426"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(2017). </w:t>
      </w:r>
      <w:r w:rsidRPr="00C5141D">
        <w:rPr>
          <w:rFonts w:ascii="Times New Roman" w:hAnsi="Times New Roman" w:cs="Times New Roman"/>
          <w:i/>
          <w:iCs/>
          <w:sz w:val="28"/>
          <w:szCs w:val="28"/>
        </w:rPr>
        <w:t>Harmful Tax Practices - 2017 Progress Report on Preferential Regimes: Inclusive Framework on BEPS: Action 5</w:t>
      </w:r>
      <w:r w:rsidRPr="00C5141D">
        <w:rPr>
          <w:rFonts w:ascii="Times New Roman" w:hAnsi="Times New Roman" w:cs="Times New Roman"/>
          <w:sz w:val="28"/>
          <w:szCs w:val="28"/>
        </w:rPr>
        <w:t>. OECD. https://doi.org/10.1787/9789264283954-en</w:t>
      </w:r>
    </w:p>
    <w:p w14:paraId="62173DEA"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(2019a). </w:t>
      </w:r>
      <w:r w:rsidRPr="00C5141D">
        <w:rPr>
          <w:rFonts w:ascii="Times New Roman" w:hAnsi="Times New Roman" w:cs="Times New Roman"/>
          <w:i/>
          <w:iCs/>
          <w:sz w:val="28"/>
          <w:szCs w:val="28"/>
        </w:rPr>
        <w:t xml:space="preserve">Harmful Tax Practices </w:t>
      </w:r>
      <w:r w:rsidRPr="00C5141D">
        <w:rPr>
          <w:rFonts w:ascii="Cambria Math" w:hAnsi="Cambria Math" w:cs="Cambria Math"/>
          <w:i/>
          <w:iCs/>
          <w:sz w:val="28"/>
          <w:szCs w:val="28"/>
        </w:rPr>
        <w:t>‑</w:t>
      </w:r>
      <w:r w:rsidRPr="00C5141D">
        <w:rPr>
          <w:rFonts w:ascii="Times New Roman" w:hAnsi="Times New Roman" w:cs="Times New Roman"/>
          <w:i/>
          <w:iCs/>
          <w:sz w:val="28"/>
          <w:szCs w:val="28"/>
        </w:rPr>
        <w:t xml:space="preserve"> 2018 Progress Report on Preferential Regimes: Inclusive Framework on BEPS: Action 5</w:t>
      </w:r>
      <w:r w:rsidRPr="00C5141D">
        <w:rPr>
          <w:rFonts w:ascii="Times New Roman" w:hAnsi="Times New Roman" w:cs="Times New Roman"/>
          <w:sz w:val="28"/>
          <w:szCs w:val="28"/>
        </w:rPr>
        <w:t xml:space="preserve"> [OECD/G20 Base Erosion and Profit Shifting Project]. https://doi.org/10.1787/9789264311480-en</w:t>
      </w:r>
    </w:p>
    <w:p w14:paraId="30AF1A71"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(2019b). </w:t>
      </w:r>
      <w:r w:rsidRPr="00C5141D">
        <w:rPr>
          <w:rFonts w:ascii="Times New Roman" w:hAnsi="Times New Roman" w:cs="Times New Roman"/>
          <w:i/>
          <w:iCs/>
          <w:sz w:val="28"/>
          <w:szCs w:val="28"/>
        </w:rPr>
        <w:t>Programme of Work to Develop a Consensus Solution to the Tax Challenges Arising from the Digitalisation of the Economy</w:t>
      </w:r>
      <w:r w:rsidRPr="00C5141D">
        <w:rPr>
          <w:rFonts w:ascii="Times New Roman" w:hAnsi="Times New Roman" w:cs="Times New Roman"/>
          <w:sz w:val="28"/>
          <w:szCs w:val="28"/>
        </w:rPr>
        <w:t xml:space="preserve"> (p. 44). OECD. http://www.oecd.org/tax/beps/programme-of-work-to-develop-a-consensus-solution-to-the-tax-challenges-arising-from-the-digitalisation-of-the-economy.pdf</w:t>
      </w:r>
    </w:p>
    <w:p w14:paraId="4896321F" w14:textId="77777777" w:rsidR="00B133DE" w:rsidRPr="00C5141D" w:rsidRDefault="00B133DE" w:rsidP="00D7338C">
      <w:pPr>
        <w:pStyle w:val="Bibliography"/>
        <w:numPr>
          <w:ilvl w:val="0"/>
          <w:numId w:val="32"/>
        </w:numPr>
        <w:spacing w:line="240" w:lineRule="auto"/>
        <w:ind w:left="709" w:right="890"/>
        <w:jc w:val="both"/>
        <w:rPr>
          <w:rFonts w:ascii="Times New Roman" w:hAnsi="Times New Roman" w:cs="Times New Roman"/>
          <w:sz w:val="28"/>
          <w:szCs w:val="28"/>
        </w:rPr>
      </w:pPr>
      <w:r w:rsidRPr="00C5141D">
        <w:rPr>
          <w:rFonts w:ascii="Times New Roman" w:hAnsi="Times New Roman" w:cs="Times New Roman"/>
          <w:sz w:val="28"/>
          <w:szCs w:val="28"/>
        </w:rPr>
        <w:t xml:space="preserve">OECD. (2019c). </w:t>
      </w:r>
      <w:r w:rsidRPr="00C5141D">
        <w:rPr>
          <w:rFonts w:ascii="Times New Roman" w:hAnsi="Times New Roman" w:cs="Times New Roman"/>
          <w:i/>
          <w:iCs/>
          <w:sz w:val="28"/>
          <w:szCs w:val="28"/>
        </w:rPr>
        <w:t>Tax and Digitalisation</w:t>
      </w:r>
      <w:r w:rsidRPr="00C5141D">
        <w:rPr>
          <w:rFonts w:ascii="Times New Roman" w:hAnsi="Times New Roman" w:cs="Times New Roman"/>
          <w:sz w:val="28"/>
          <w:szCs w:val="28"/>
        </w:rPr>
        <w:t xml:space="preserve"> (OECD Going Digital Policy Note). OECD. https://www.oecd.org/going-digital/tax-and-digitalisation.pdf</w:t>
      </w:r>
    </w:p>
    <w:p w14:paraId="450DBDA2"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OECD Inclusive Framework. (2019). </w:t>
      </w:r>
      <w:r w:rsidRPr="00C5141D">
        <w:rPr>
          <w:rFonts w:ascii="Times New Roman" w:hAnsi="Times New Roman" w:cs="Times New Roman"/>
          <w:i/>
          <w:iCs/>
          <w:sz w:val="28"/>
          <w:szCs w:val="28"/>
        </w:rPr>
        <w:t>Harmful Tax Practices – Peer Review Results. Action 5 Update (as of July 2019)</w:t>
      </w:r>
      <w:r w:rsidRPr="00C5141D">
        <w:rPr>
          <w:rFonts w:ascii="Times New Roman" w:hAnsi="Times New Roman" w:cs="Times New Roman"/>
          <w:sz w:val="28"/>
          <w:szCs w:val="28"/>
        </w:rPr>
        <w:t>. https://www.oecd.org/tax/beps/harmful-tax-practices-peer-review-results-on-preferential-regimes.pdf</w:t>
      </w:r>
    </w:p>
    <w:p w14:paraId="3B30B8AF"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Oguttu, A. (2016). </w:t>
      </w:r>
      <w:r w:rsidRPr="00C5141D">
        <w:rPr>
          <w:rFonts w:ascii="Times New Roman" w:hAnsi="Times New Roman" w:cs="Times New Roman"/>
          <w:i/>
          <w:iCs/>
          <w:sz w:val="28"/>
          <w:szCs w:val="28"/>
        </w:rPr>
        <w:t>Tax Base Erosion and Profit Shifting in Africa – Part 1: Africa’s Response to the OECD BEPS Action Plan</w:t>
      </w:r>
      <w:r w:rsidRPr="00C5141D">
        <w:rPr>
          <w:rFonts w:ascii="Times New Roman" w:hAnsi="Times New Roman" w:cs="Times New Roman"/>
          <w:sz w:val="28"/>
          <w:szCs w:val="28"/>
        </w:rPr>
        <w:t xml:space="preserve"> (SSRN Scholarly Paper ID </w:t>
      </w:r>
      <w:r w:rsidRPr="00C5141D">
        <w:rPr>
          <w:rFonts w:ascii="Times New Roman" w:hAnsi="Times New Roman" w:cs="Times New Roman"/>
          <w:sz w:val="28"/>
          <w:szCs w:val="28"/>
        </w:rPr>
        <w:lastRenderedPageBreak/>
        <w:t>3120328). Social Science Research Network. https://doi.org/10.2139/ssrn.3120328</w:t>
      </w:r>
    </w:p>
    <w:p w14:paraId="5729DA54"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Orbitax. (2020). </w:t>
      </w:r>
      <w:r w:rsidRPr="00C5141D">
        <w:rPr>
          <w:rFonts w:ascii="Times New Roman" w:hAnsi="Times New Roman" w:cs="Times New Roman"/>
          <w:i/>
          <w:iCs/>
          <w:sz w:val="28"/>
          <w:szCs w:val="28"/>
        </w:rPr>
        <w:t>Tax Treaty between Mauritius and Senegal Terminated—Orbitax News</w:t>
      </w:r>
      <w:r w:rsidRPr="00C5141D">
        <w:rPr>
          <w:rFonts w:ascii="Times New Roman" w:hAnsi="Times New Roman" w:cs="Times New Roman"/>
          <w:sz w:val="28"/>
          <w:szCs w:val="28"/>
        </w:rPr>
        <w:t>. https://www.orbitax.com/news/archive.php/Tax-Treaty-between-Mauritius-a-40865</w:t>
      </w:r>
    </w:p>
    <w:p w14:paraId="7BA9B0AA"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Picciotto, S. (2019). The interactions of national and international tax law and the Kenya-Mauritius Tax Treaty. </w:t>
      </w:r>
      <w:r w:rsidRPr="00C5141D">
        <w:rPr>
          <w:rFonts w:ascii="Times New Roman" w:hAnsi="Times New Roman" w:cs="Times New Roman"/>
          <w:i/>
          <w:iCs/>
          <w:sz w:val="28"/>
          <w:szCs w:val="28"/>
        </w:rPr>
        <w:t>Financing for Development</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1</w:t>
      </w:r>
      <w:r w:rsidRPr="00C5141D">
        <w:rPr>
          <w:rFonts w:ascii="Times New Roman" w:hAnsi="Times New Roman" w:cs="Times New Roman"/>
          <w:sz w:val="28"/>
          <w:szCs w:val="28"/>
        </w:rPr>
        <w:t>(1), Article 1. http://uonjournals.uonbi.ac.ke/ojs/index.php/ffd/article/view/251</w:t>
      </w:r>
    </w:p>
    <w:p w14:paraId="37EB5608"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PricewaterhouseCoopers (PWC). (2018, November 16). </w:t>
      </w:r>
      <w:r w:rsidRPr="00C5141D">
        <w:rPr>
          <w:rFonts w:ascii="Times New Roman" w:hAnsi="Times New Roman" w:cs="Times New Roman"/>
          <w:i/>
          <w:iCs/>
          <w:sz w:val="28"/>
          <w:szCs w:val="28"/>
        </w:rPr>
        <w:t>Mauritius—Corporate tax credits and incentives</w:t>
      </w:r>
      <w:r w:rsidRPr="00C5141D">
        <w:rPr>
          <w:rFonts w:ascii="Times New Roman" w:hAnsi="Times New Roman" w:cs="Times New Roman"/>
          <w:sz w:val="28"/>
          <w:szCs w:val="28"/>
        </w:rPr>
        <w:t>. PWC Worldwide Tax Summaries. http://taxsummaries.pwc.com/uk/taxsummaries/wwts.nsf/ID/Mauritius-Corporate-Tax-credits-and-incentives</w:t>
      </w:r>
    </w:p>
    <w:p w14:paraId="5A503683"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Sanz Gomez, R. (2015). The OECD’s Nexus Approach to IP Boxes: A European Union Law Perspective. </w:t>
      </w:r>
      <w:r w:rsidRPr="00C5141D">
        <w:rPr>
          <w:rFonts w:ascii="Times New Roman" w:hAnsi="Times New Roman" w:cs="Times New Roman"/>
          <w:i/>
          <w:iCs/>
          <w:sz w:val="28"/>
          <w:szCs w:val="28"/>
        </w:rPr>
        <w:t>SSRN Electronic Journal</w:t>
      </w:r>
      <w:r w:rsidRPr="00C5141D">
        <w:rPr>
          <w:rFonts w:ascii="Times New Roman" w:hAnsi="Times New Roman" w:cs="Times New Roman"/>
          <w:sz w:val="28"/>
          <w:szCs w:val="28"/>
        </w:rPr>
        <w:t>. https://doi.org/10.2139/ssrn.2589065</w:t>
      </w:r>
    </w:p>
    <w:p w14:paraId="524835FA"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Schilling, M. A. (2018). Potential Sources of Value from Mergers and Their Indicators. </w:t>
      </w:r>
      <w:r w:rsidRPr="00C5141D">
        <w:rPr>
          <w:rFonts w:ascii="Times New Roman" w:hAnsi="Times New Roman" w:cs="Times New Roman"/>
          <w:i/>
          <w:iCs/>
          <w:sz w:val="28"/>
          <w:szCs w:val="28"/>
        </w:rPr>
        <w:t>The Antitrust Bulletin</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63</w:t>
      </w:r>
      <w:r w:rsidRPr="00C5141D">
        <w:rPr>
          <w:rFonts w:ascii="Times New Roman" w:hAnsi="Times New Roman" w:cs="Times New Roman"/>
          <w:sz w:val="28"/>
          <w:szCs w:val="28"/>
        </w:rPr>
        <w:t>(2), 183–197. https://doi.org/10.1177/0003603X18770068</w:t>
      </w:r>
    </w:p>
    <w:p w14:paraId="374B915C"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Serrano, C. P. G., Muñoz, E. B., &amp; Esteban, I. G. A. (2019). </w:t>
      </w:r>
      <w:r w:rsidRPr="00C5141D">
        <w:rPr>
          <w:rFonts w:ascii="Times New Roman" w:hAnsi="Times New Roman" w:cs="Times New Roman"/>
          <w:i/>
          <w:iCs/>
          <w:sz w:val="28"/>
          <w:szCs w:val="28"/>
        </w:rPr>
        <w:t>Cocktail of measures for the control of harmful transfer pricing manipulation, focused within the   context of  low income and developing countries</w:t>
      </w:r>
      <w:r w:rsidRPr="00C5141D">
        <w:rPr>
          <w:rFonts w:ascii="Times New Roman" w:hAnsi="Times New Roman" w:cs="Times New Roman"/>
          <w:sz w:val="28"/>
          <w:szCs w:val="28"/>
        </w:rPr>
        <w:t xml:space="preserve"> (p. 98). CIAT. https://www.ciat.org/Biblioteca/Estudios/2019_cocktail_TP_ciat_giz.pdf</w:t>
      </w:r>
    </w:p>
    <w:p w14:paraId="69145295"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Shaxson, N. (2014a, November 13). The UK Patent box – will it come back in through the back door, accompanied by Germany? </w:t>
      </w:r>
      <w:r w:rsidRPr="00C5141D">
        <w:rPr>
          <w:rFonts w:ascii="Times New Roman" w:hAnsi="Times New Roman" w:cs="Times New Roman"/>
          <w:i/>
          <w:iCs/>
          <w:sz w:val="28"/>
          <w:szCs w:val="28"/>
        </w:rPr>
        <w:t>Tax Justice Network</w:t>
      </w:r>
      <w:r w:rsidRPr="00C5141D">
        <w:rPr>
          <w:rFonts w:ascii="Times New Roman" w:hAnsi="Times New Roman" w:cs="Times New Roman"/>
          <w:sz w:val="28"/>
          <w:szCs w:val="28"/>
        </w:rPr>
        <w:t>. https://www.taxjustice.net/2014/11/13/uk-patent-box-will-come-back-back-door-accompanied-germany/, https://www.taxjustice.net/2014/11/13/uk-patent-box-will-come-back-back-door-accompanied-germany/</w:t>
      </w:r>
    </w:p>
    <w:p w14:paraId="4BB10801"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Shaxson, N. (2014b, November 17). Patent boxes: Progress, or more racing to the bottom? </w:t>
      </w:r>
      <w:r w:rsidRPr="00C5141D">
        <w:rPr>
          <w:rFonts w:ascii="Times New Roman" w:hAnsi="Times New Roman" w:cs="Times New Roman"/>
          <w:i/>
          <w:iCs/>
          <w:sz w:val="28"/>
          <w:szCs w:val="28"/>
        </w:rPr>
        <w:t>Tax Justice Network</w:t>
      </w:r>
      <w:r w:rsidRPr="00C5141D">
        <w:rPr>
          <w:rFonts w:ascii="Times New Roman" w:hAnsi="Times New Roman" w:cs="Times New Roman"/>
          <w:sz w:val="28"/>
          <w:szCs w:val="28"/>
        </w:rPr>
        <w:t>. https://www.taxjustice.net/2014/11/17/patent-boxes-progress-racing-bottom/, https://www.taxjustice.net/2014/11/17/patent-boxes-progress-racing-bottom/</w:t>
      </w:r>
    </w:p>
    <w:p w14:paraId="618CDB17"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Stausholm, S. N. (2017). Rise of ineffective incentives: New empirical evidence on tax holidays in developing countries. </w:t>
      </w:r>
      <w:r w:rsidRPr="00C5141D">
        <w:rPr>
          <w:rFonts w:ascii="Times New Roman" w:hAnsi="Times New Roman" w:cs="Times New Roman"/>
          <w:i/>
          <w:iCs/>
          <w:sz w:val="28"/>
          <w:szCs w:val="28"/>
        </w:rPr>
        <w:t>SocArXiv</w:t>
      </w:r>
      <w:r w:rsidRPr="00C5141D">
        <w:rPr>
          <w:rFonts w:ascii="Times New Roman" w:hAnsi="Times New Roman" w:cs="Times New Roman"/>
          <w:sz w:val="28"/>
          <w:szCs w:val="28"/>
        </w:rPr>
        <w:t>. https://doi.org/10.31235/osf.io/4sn3k</w:t>
      </w:r>
    </w:p>
    <w:p w14:paraId="73BDDB31"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(2015). </w:t>
      </w:r>
      <w:r w:rsidRPr="00C5141D">
        <w:rPr>
          <w:rFonts w:ascii="Times New Roman" w:hAnsi="Times New Roman" w:cs="Times New Roman"/>
          <w:i/>
          <w:iCs/>
          <w:sz w:val="28"/>
          <w:szCs w:val="28"/>
        </w:rPr>
        <w:t>Ten Reasons to Defend the Corporation Tax</w:t>
      </w:r>
      <w:r w:rsidRPr="00C5141D">
        <w:rPr>
          <w:rFonts w:ascii="Times New Roman" w:hAnsi="Times New Roman" w:cs="Times New Roman"/>
          <w:sz w:val="28"/>
          <w:szCs w:val="28"/>
        </w:rPr>
        <w:t>. https://www.taxjustice.net/wp-content/uploads/2013/04/Ten_Reasons_Full_Report.pdf</w:t>
      </w:r>
    </w:p>
    <w:p w14:paraId="558EDED6"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(2018). </w:t>
      </w:r>
      <w:r w:rsidRPr="00C5141D">
        <w:rPr>
          <w:rFonts w:ascii="Times New Roman" w:hAnsi="Times New Roman" w:cs="Times New Roman"/>
          <w:i/>
          <w:iCs/>
          <w:sz w:val="28"/>
          <w:szCs w:val="28"/>
        </w:rPr>
        <w:t>Financial Secrecy Index 2018—Methodology</w:t>
      </w:r>
      <w:r w:rsidRPr="00C5141D">
        <w:rPr>
          <w:rFonts w:ascii="Times New Roman" w:hAnsi="Times New Roman" w:cs="Times New Roman"/>
          <w:sz w:val="28"/>
          <w:szCs w:val="28"/>
        </w:rPr>
        <w:t>. https://www.financialsecrecyindex.com/PDF/FSI-Methodology.pdf</w:t>
      </w:r>
    </w:p>
    <w:p w14:paraId="65079148"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(2019a). </w:t>
      </w:r>
      <w:r w:rsidRPr="00C5141D">
        <w:rPr>
          <w:rFonts w:ascii="Times New Roman" w:hAnsi="Times New Roman" w:cs="Times New Roman"/>
          <w:i/>
          <w:iCs/>
          <w:sz w:val="28"/>
          <w:szCs w:val="28"/>
        </w:rPr>
        <w:t>Consultation Response to OECD’s consultation ‘addressing the tax challenges of the digitalisation of the economy’</w:t>
      </w:r>
      <w:r w:rsidRPr="00C5141D">
        <w:rPr>
          <w:rFonts w:ascii="Times New Roman" w:hAnsi="Times New Roman" w:cs="Times New Roman"/>
          <w:sz w:val="28"/>
          <w:szCs w:val="28"/>
        </w:rPr>
        <w:t>. https://www.oecd-ilibrary.org/docserver/a07f9958-</w:t>
      </w:r>
      <w:r w:rsidRPr="00C5141D">
        <w:rPr>
          <w:rFonts w:ascii="Times New Roman" w:hAnsi="Times New Roman" w:cs="Times New Roman"/>
          <w:sz w:val="28"/>
          <w:szCs w:val="28"/>
        </w:rPr>
        <w:lastRenderedPageBreak/>
        <w:t>en.pdf?expires=1554297852&amp;id=id&amp;accname=guest&amp;checksum=09CBD5891A2C3B7E7759E3B312D574F6</w:t>
      </w:r>
    </w:p>
    <w:p w14:paraId="6E5D5351"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(2019b). </w:t>
      </w:r>
      <w:r w:rsidRPr="00C5141D">
        <w:rPr>
          <w:rFonts w:ascii="Times New Roman" w:hAnsi="Times New Roman" w:cs="Times New Roman"/>
          <w:i/>
          <w:iCs/>
          <w:sz w:val="28"/>
          <w:szCs w:val="28"/>
        </w:rPr>
        <w:t>Corporate Tax Haven Index</w:t>
      </w:r>
      <w:r w:rsidRPr="00C5141D">
        <w:rPr>
          <w:rFonts w:ascii="Times New Roman" w:hAnsi="Times New Roman" w:cs="Times New Roman"/>
          <w:sz w:val="28"/>
          <w:szCs w:val="28"/>
        </w:rPr>
        <w:t>. https://www.corporatetaxhavenindex.org/</w:t>
      </w:r>
    </w:p>
    <w:p w14:paraId="0D52344E"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(2019c). </w:t>
      </w:r>
      <w:r w:rsidRPr="00C5141D">
        <w:rPr>
          <w:rFonts w:ascii="Times New Roman" w:hAnsi="Times New Roman" w:cs="Times New Roman"/>
          <w:i/>
          <w:iCs/>
          <w:sz w:val="28"/>
          <w:szCs w:val="28"/>
        </w:rPr>
        <w:t>Corporate Tax Haven Index (CTHI) 2019 Methodology</w:t>
      </w:r>
      <w:r w:rsidRPr="00C5141D">
        <w:rPr>
          <w:rFonts w:ascii="Times New Roman" w:hAnsi="Times New Roman" w:cs="Times New Roman"/>
          <w:sz w:val="28"/>
          <w:szCs w:val="28"/>
        </w:rPr>
        <w:t>. https://www.corporatetaxhavenindex.org/PDF/CTHI-Methodology.pdf</w:t>
      </w:r>
    </w:p>
    <w:p w14:paraId="25AD3AC7"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(2019d). </w:t>
      </w:r>
      <w:r w:rsidRPr="00C5141D">
        <w:rPr>
          <w:rFonts w:ascii="Times New Roman" w:hAnsi="Times New Roman" w:cs="Times New Roman"/>
          <w:i/>
          <w:iCs/>
          <w:sz w:val="28"/>
          <w:szCs w:val="28"/>
        </w:rPr>
        <w:t>Haven Indicator 1: Lowest Available Corporate Income Tax Rate (LACIT)</w:t>
      </w:r>
      <w:r w:rsidRPr="00C5141D">
        <w:rPr>
          <w:rFonts w:ascii="Times New Roman" w:hAnsi="Times New Roman" w:cs="Times New Roman"/>
          <w:sz w:val="28"/>
          <w:szCs w:val="28"/>
        </w:rPr>
        <w:t xml:space="preserve"> (Corporate Tax Haven Index 2019) [Key Corporate Tax Haven Indicators]. Tax Jutice Network. https://www.corporatetaxhavenindex.org/PDF/1-Corporate-Income-Tax-LACIT.pdf</w:t>
      </w:r>
    </w:p>
    <w:p w14:paraId="01B49EBE"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(2019e). </w:t>
      </w:r>
      <w:r w:rsidRPr="00C5141D">
        <w:rPr>
          <w:rFonts w:ascii="Times New Roman" w:hAnsi="Times New Roman" w:cs="Times New Roman"/>
          <w:i/>
          <w:iCs/>
          <w:sz w:val="28"/>
          <w:szCs w:val="28"/>
        </w:rPr>
        <w:t>Haven Indicator 7: Patent Boxes</w:t>
      </w:r>
      <w:r w:rsidRPr="00C5141D">
        <w:rPr>
          <w:rFonts w:ascii="Times New Roman" w:hAnsi="Times New Roman" w:cs="Times New Roman"/>
          <w:sz w:val="28"/>
          <w:szCs w:val="28"/>
        </w:rPr>
        <w:t xml:space="preserve"> (Key Corporate Tax Haven Indicators). Tax Justice Network. https://www.corporatetaxhavenindex.org/PDF/7-Patent-Boxes.pdf</w:t>
      </w:r>
    </w:p>
    <w:p w14:paraId="093A8637"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(2019f). </w:t>
      </w:r>
      <w:r w:rsidRPr="00C5141D">
        <w:rPr>
          <w:rFonts w:ascii="Times New Roman" w:hAnsi="Times New Roman" w:cs="Times New Roman"/>
          <w:i/>
          <w:iCs/>
          <w:sz w:val="28"/>
          <w:szCs w:val="28"/>
        </w:rPr>
        <w:t>Haven Indicator 16: Deduction Limitation for Royalties</w:t>
      </w:r>
      <w:r w:rsidRPr="00C5141D">
        <w:rPr>
          <w:rFonts w:ascii="Times New Roman" w:hAnsi="Times New Roman" w:cs="Times New Roman"/>
          <w:sz w:val="28"/>
          <w:szCs w:val="28"/>
        </w:rPr>
        <w:t xml:space="preserve"> (Key Corporate Tax Haven Indicators). Tax Justice Network. https://www.corporatetaxhavenindex.org/PDF/16-Deduction-Limitation-Royalties.pdf</w:t>
      </w:r>
    </w:p>
    <w:p w14:paraId="253B9F63"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(2019g). </w:t>
      </w:r>
      <w:r w:rsidRPr="00C5141D">
        <w:rPr>
          <w:rFonts w:ascii="Times New Roman" w:hAnsi="Times New Roman" w:cs="Times New Roman"/>
          <w:i/>
          <w:iCs/>
          <w:sz w:val="28"/>
          <w:szCs w:val="28"/>
        </w:rPr>
        <w:t>Haven Indicator 20: Double Tax Treaty Aggressiveness</w:t>
      </w:r>
      <w:r w:rsidRPr="00C5141D">
        <w:rPr>
          <w:rFonts w:ascii="Times New Roman" w:hAnsi="Times New Roman" w:cs="Times New Roman"/>
          <w:sz w:val="28"/>
          <w:szCs w:val="28"/>
        </w:rPr>
        <w:t xml:space="preserve"> [Key Corporate Tax Haven Indicators]. Tax Justice Network. https://www.corporatetaxhavenindex.org/PDF/20-Double-Tax-Treaties.pdf</w:t>
      </w:r>
    </w:p>
    <w:p w14:paraId="7B5E544C"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(2019h). </w:t>
      </w:r>
      <w:r w:rsidRPr="00C5141D">
        <w:rPr>
          <w:rFonts w:ascii="Times New Roman" w:hAnsi="Times New Roman" w:cs="Times New Roman"/>
          <w:i/>
          <w:iCs/>
          <w:sz w:val="28"/>
          <w:szCs w:val="28"/>
        </w:rPr>
        <w:t>Kenya Database Report</w:t>
      </w:r>
      <w:r w:rsidRPr="00C5141D">
        <w:rPr>
          <w:rFonts w:ascii="Times New Roman" w:hAnsi="Times New Roman" w:cs="Times New Roman"/>
          <w:sz w:val="28"/>
          <w:szCs w:val="28"/>
        </w:rPr>
        <w:t xml:space="preserve"> (Corporate Tax Haven Index). Tax Justice Network. https://www.corporatetaxhavenindex.org/database/Kenya.xml</w:t>
      </w:r>
    </w:p>
    <w:p w14:paraId="6CD4D32B"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(2019i). </w:t>
      </w:r>
      <w:r w:rsidRPr="00C5141D">
        <w:rPr>
          <w:rFonts w:ascii="Times New Roman" w:hAnsi="Times New Roman" w:cs="Times New Roman"/>
          <w:i/>
          <w:iCs/>
          <w:sz w:val="28"/>
          <w:szCs w:val="28"/>
        </w:rPr>
        <w:t>Tanzania Database Report</w:t>
      </w:r>
      <w:r w:rsidRPr="00C5141D">
        <w:rPr>
          <w:rFonts w:ascii="Times New Roman" w:hAnsi="Times New Roman" w:cs="Times New Roman"/>
          <w:sz w:val="28"/>
          <w:szCs w:val="28"/>
        </w:rPr>
        <w:t xml:space="preserve"> (Corporate Tax Haven Index). Tax Justice Network. https://www.corporatetaxhavenindex.org/database/Tanzania.xml</w:t>
      </w:r>
    </w:p>
    <w:p w14:paraId="3BB5FBE7"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(2019j). </w:t>
      </w:r>
      <w:r w:rsidRPr="00C5141D">
        <w:rPr>
          <w:rFonts w:ascii="Times New Roman" w:hAnsi="Times New Roman" w:cs="Times New Roman"/>
          <w:i/>
          <w:iCs/>
          <w:sz w:val="28"/>
          <w:szCs w:val="28"/>
        </w:rPr>
        <w:t>New ranking reveals corporate tax havens behind breakdown of global corporate tax system; toll of UK’s tax war exposed</w:t>
      </w:r>
      <w:r w:rsidRPr="00C5141D">
        <w:rPr>
          <w:rFonts w:ascii="Times New Roman" w:hAnsi="Times New Roman" w:cs="Times New Roman"/>
          <w:sz w:val="28"/>
          <w:szCs w:val="28"/>
        </w:rPr>
        <w:t xml:space="preserve"> [Press Release]. Tax Justice Network. https://www.taxjustice.net/2019/05/28/new-ranking-reveals-corporate-tax-havens-behind-breakdown-of-global-corporate-tax-system-toll-of-uks-tax-war-exposed/, https://www.taxjustice.net/2019/05/28/new-ranking-reveals-corporate-tax-havens-behind-breakdown-of-global-corporate-tax-system-toll-of-uks-tax-war-exposed/</w:t>
      </w:r>
    </w:p>
    <w:p w14:paraId="4F8D9A51"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Tax Justice Network. (2020). </w:t>
      </w:r>
      <w:r w:rsidRPr="00C5141D">
        <w:rPr>
          <w:rFonts w:ascii="Times New Roman" w:hAnsi="Times New Roman" w:cs="Times New Roman"/>
          <w:i/>
          <w:iCs/>
          <w:sz w:val="28"/>
          <w:szCs w:val="28"/>
        </w:rPr>
        <w:t>Financial Secrecy Index</w:t>
      </w:r>
      <w:r w:rsidRPr="00C5141D">
        <w:rPr>
          <w:rFonts w:ascii="Times New Roman" w:hAnsi="Times New Roman" w:cs="Times New Roman"/>
          <w:sz w:val="28"/>
          <w:szCs w:val="28"/>
        </w:rPr>
        <w:t>. Financial Secrecy Index. https://fsi.taxjustice.net/en/</w:t>
      </w:r>
    </w:p>
    <w:p w14:paraId="0666079F"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Tørsløv, T. R., Wier, L. S., &amp; Zucman, G. (2018). </w:t>
      </w:r>
      <w:r w:rsidRPr="00C5141D">
        <w:rPr>
          <w:rFonts w:ascii="Times New Roman" w:hAnsi="Times New Roman" w:cs="Times New Roman"/>
          <w:i/>
          <w:iCs/>
          <w:sz w:val="28"/>
          <w:szCs w:val="28"/>
        </w:rPr>
        <w:t>The Missing Profits of Nations</w:t>
      </w:r>
      <w:r w:rsidRPr="00C5141D">
        <w:rPr>
          <w:rFonts w:ascii="Times New Roman" w:hAnsi="Times New Roman" w:cs="Times New Roman"/>
          <w:sz w:val="28"/>
          <w:szCs w:val="28"/>
        </w:rPr>
        <w:t xml:space="preserve"> (Working Paper No. 24701). National Bureau of Economic Research. https://doi.org/10.3386/w24701</w:t>
      </w:r>
    </w:p>
    <w:p w14:paraId="133F0B59"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United Nations Conference on Trade and Development. (2015). </w:t>
      </w:r>
      <w:r w:rsidRPr="00C5141D">
        <w:rPr>
          <w:rFonts w:ascii="Times New Roman" w:hAnsi="Times New Roman" w:cs="Times New Roman"/>
          <w:i/>
          <w:iCs/>
          <w:sz w:val="28"/>
          <w:szCs w:val="28"/>
        </w:rPr>
        <w:t>FDI, Tax and Development. The Fiscal Role of Multinational Enterprises: Towards Guidelines for Coherent International Tax and Investment Policies</w:t>
      </w:r>
      <w:r w:rsidRPr="00C5141D">
        <w:rPr>
          <w:rFonts w:ascii="Times New Roman" w:hAnsi="Times New Roman" w:cs="Times New Roman"/>
          <w:sz w:val="28"/>
          <w:szCs w:val="28"/>
        </w:rPr>
        <w:t xml:space="preserve">. </w:t>
      </w:r>
      <w:r w:rsidRPr="00C5141D">
        <w:rPr>
          <w:rFonts w:ascii="Times New Roman" w:hAnsi="Times New Roman" w:cs="Times New Roman"/>
          <w:sz w:val="28"/>
          <w:szCs w:val="28"/>
        </w:rPr>
        <w:lastRenderedPageBreak/>
        <w:t>https://www.tralac.org/images/docs/7262/fdi-tax-and-development-unctad-working-paper-march-2015.pdf</w:t>
      </w:r>
    </w:p>
    <w:p w14:paraId="74A30BBA"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United Nations High Level Panel on International Financial Accountability, Transparency and Integrity for Achieving the 2030 Agenda. (2020). </w:t>
      </w:r>
      <w:r w:rsidRPr="00C5141D">
        <w:rPr>
          <w:rFonts w:ascii="Times New Roman" w:hAnsi="Times New Roman" w:cs="Times New Roman"/>
          <w:i/>
          <w:iCs/>
          <w:sz w:val="28"/>
          <w:szCs w:val="28"/>
        </w:rPr>
        <w:t>Overview of Existing International Institutional and Legal Frameworks Related to Financial Accountability, Transparency and Integrity. FACTI Panel Background Paper</w:t>
      </w:r>
      <w:r w:rsidRPr="00C5141D">
        <w:rPr>
          <w:rFonts w:ascii="Times New Roman" w:hAnsi="Times New Roman" w:cs="Times New Roman"/>
          <w:sz w:val="28"/>
          <w:szCs w:val="28"/>
        </w:rPr>
        <w:t>. President of the General Assembly and the. https://assets-global.website-files.com/5e0bd9edab846816e263d633/5e8df72aec8ff1144d3773f3_FACTI%20BP%201%20Overview%20of%20frameworks.pdf</w:t>
      </w:r>
    </w:p>
    <w:p w14:paraId="2E05D9D4"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van’t Riet, M., &amp; Lejour, A. (2014). Ranking the Stars: Network Analysis of Bilateral Tax Treaties. In </w:t>
      </w:r>
      <w:r w:rsidRPr="00C5141D">
        <w:rPr>
          <w:rFonts w:ascii="Times New Roman" w:hAnsi="Times New Roman" w:cs="Times New Roman"/>
          <w:i/>
          <w:iCs/>
          <w:sz w:val="28"/>
          <w:szCs w:val="28"/>
        </w:rPr>
        <w:t>CPB Discussion Paper</w:t>
      </w:r>
      <w:r w:rsidRPr="00C5141D">
        <w:rPr>
          <w:rFonts w:ascii="Times New Roman" w:hAnsi="Times New Roman" w:cs="Times New Roman"/>
          <w:sz w:val="28"/>
          <w:szCs w:val="28"/>
        </w:rPr>
        <w:t xml:space="preserve"> (No. 290; CPB Discussion Paper). CPB Netherlands Bureau for Economic Policy Analysis. https://ideas.repec.org/p/cpb/discus/290.rdf.html</w:t>
      </w:r>
    </w:p>
    <w:p w14:paraId="31826C37"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Veerasamy, N. (2019, January 29). </w:t>
      </w:r>
      <w:r w:rsidRPr="00C5141D">
        <w:rPr>
          <w:rFonts w:ascii="Times New Roman" w:hAnsi="Times New Roman" w:cs="Times New Roman"/>
          <w:i/>
          <w:iCs/>
          <w:sz w:val="28"/>
          <w:szCs w:val="28"/>
        </w:rPr>
        <w:t>Tax Regime Changes For Corporations In Mauritius—Finance and Banking—Mauritius</w:t>
      </w:r>
      <w:r w:rsidRPr="00C5141D">
        <w:rPr>
          <w:rFonts w:ascii="Times New Roman" w:hAnsi="Times New Roman" w:cs="Times New Roman"/>
          <w:sz w:val="28"/>
          <w:szCs w:val="28"/>
        </w:rPr>
        <w:t>. Mondaq. https://www.mondaq.com/Finance-and-Banking/775736/Tax-Regime-Changes-For-Corporations-In-Mauritius</w:t>
      </w:r>
    </w:p>
    <w:p w14:paraId="737E376B"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Waris, A. (2019). </w:t>
      </w:r>
      <w:r w:rsidRPr="00C5141D">
        <w:rPr>
          <w:rFonts w:ascii="Times New Roman" w:hAnsi="Times New Roman" w:cs="Times New Roman"/>
          <w:i/>
          <w:iCs/>
          <w:sz w:val="28"/>
          <w:szCs w:val="28"/>
        </w:rPr>
        <w:t>Financing Africa</w:t>
      </w:r>
      <w:r w:rsidRPr="00C5141D">
        <w:rPr>
          <w:rFonts w:ascii="Times New Roman" w:hAnsi="Times New Roman" w:cs="Times New Roman"/>
          <w:sz w:val="28"/>
          <w:szCs w:val="28"/>
        </w:rPr>
        <w:t>. Langaa Research &amp; Publishing Common Initative Group.</w:t>
      </w:r>
    </w:p>
    <w:p w14:paraId="4C2101FA" w14:textId="77777777" w:rsidR="00B133DE" w:rsidRPr="00C5141D" w:rsidRDefault="00B133DE" w:rsidP="00C5141D">
      <w:pPr>
        <w:pStyle w:val="Bibliography"/>
        <w:numPr>
          <w:ilvl w:val="0"/>
          <w:numId w:val="32"/>
        </w:numPr>
        <w:spacing w:line="240" w:lineRule="auto"/>
        <w:ind w:left="709" w:right="890" w:hanging="567"/>
        <w:jc w:val="both"/>
        <w:rPr>
          <w:rFonts w:ascii="Times New Roman" w:hAnsi="Times New Roman" w:cs="Times New Roman"/>
          <w:sz w:val="28"/>
          <w:szCs w:val="28"/>
        </w:rPr>
      </w:pPr>
      <w:r w:rsidRPr="00C5141D">
        <w:rPr>
          <w:rFonts w:ascii="Times New Roman" w:hAnsi="Times New Roman" w:cs="Times New Roman"/>
          <w:sz w:val="28"/>
          <w:szCs w:val="28"/>
        </w:rPr>
        <w:t xml:space="preserve">Weyzig, F. (2013). Tax treaty shopping: Structural determinants of Foreign Direct Investment routed through the Netherlands. </w:t>
      </w:r>
      <w:r w:rsidRPr="00C5141D">
        <w:rPr>
          <w:rFonts w:ascii="Times New Roman" w:hAnsi="Times New Roman" w:cs="Times New Roman"/>
          <w:i/>
          <w:iCs/>
          <w:sz w:val="28"/>
          <w:szCs w:val="28"/>
        </w:rPr>
        <w:t>Int Tax Public Finance</w:t>
      </w:r>
      <w:r w:rsidRPr="00C5141D">
        <w:rPr>
          <w:rFonts w:ascii="Times New Roman" w:hAnsi="Times New Roman" w:cs="Times New Roman"/>
          <w:sz w:val="28"/>
          <w:szCs w:val="28"/>
        </w:rPr>
        <w:t xml:space="preserve">, </w:t>
      </w:r>
      <w:r w:rsidRPr="00C5141D">
        <w:rPr>
          <w:rFonts w:ascii="Times New Roman" w:hAnsi="Times New Roman" w:cs="Times New Roman"/>
          <w:i/>
          <w:iCs/>
          <w:sz w:val="28"/>
          <w:szCs w:val="28"/>
        </w:rPr>
        <w:t>20</w:t>
      </w:r>
      <w:r w:rsidRPr="00C5141D">
        <w:rPr>
          <w:rFonts w:ascii="Times New Roman" w:hAnsi="Times New Roman" w:cs="Times New Roman"/>
          <w:sz w:val="28"/>
          <w:szCs w:val="28"/>
        </w:rPr>
        <w:t>, 910–937. https://doi.org/10.1007/s10797-012-9250-z</w:t>
      </w:r>
    </w:p>
    <w:p w14:paraId="60937C0B" w14:textId="2955A246" w:rsidR="00FC1278" w:rsidRPr="00C5141D" w:rsidRDefault="00D844D2" w:rsidP="00D7338C">
      <w:pPr>
        <w:spacing w:after="0" w:line="240" w:lineRule="auto"/>
        <w:ind w:left="709" w:right="890"/>
        <w:jc w:val="both"/>
        <w:rPr>
          <w:rFonts w:cs="Times New Roman"/>
          <w:sz w:val="28"/>
          <w:szCs w:val="28"/>
        </w:rPr>
      </w:pPr>
      <w:r w:rsidRPr="00C5141D">
        <w:rPr>
          <w:rFonts w:cs="Times New Roman"/>
          <w:sz w:val="28"/>
          <w:szCs w:val="28"/>
        </w:rPr>
        <w:fldChar w:fldCharType="end"/>
      </w:r>
    </w:p>
    <w:p w14:paraId="5CD61D0F" w14:textId="77777777" w:rsidR="00AF60AC" w:rsidRPr="00C5141D" w:rsidRDefault="00AF60AC" w:rsidP="00B90A24">
      <w:pPr>
        <w:spacing w:after="0" w:line="240" w:lineRule="auto"/>
        <w:ind w:left="426" w:right="890"/>
        <w:jc w:val="both"/>
        <w:rPr>
          <w:rFonts w:cs="Times New Roman"/>
          <w:b/>
          <w:sz w:val="28"/>
          <w:szCs w:val="28"/>
          <w:shd w:val="clear" w:color="auto" w:fill="FFFFFF"/>
        </w:rPr>
      </w:pPr>
    </w:p>
    <w:p w14:paraId="2DFA6D4D" w14:textId="77777777" w:rsidR="00D261EB" w:rsidRPr="00C5141D" w:rsidRDefault="00D261EB" w:rsidP="00B90A24">
      <w:pPr>
        <w:spacing w:after="0" w:line="240" w:lineRule="auto"/>
        <w:ind w:left="426" w:right="890"/>
        <w:jc w:val="both"/>
        <w:rPr>
          <w:rFonts w:cs="Times New Roman"/>
          <w:sz w:val="28"/>
          <w:szCs w:val="28"/>
        </w:rPr>
      </w:pPr>
    </w:p>
    <w:sectPr w:rsidR="00D261EB" w:rsidRPr="00C5141D" w:rsidSect="00C5141D">
      <w:headerReference w:type="even" r:id="rId25"/>
      <w:headerReference w:type="default" r:id="rId26"/>
      <w:footerReference w:type="even" r:id="rId27"/>
      <w:footerReference w:type="default" r:id="rId28"/>
      <w:pgSz w:w="11906" w:h="16838"/>
      <w:pgMar w:top="482" w:right="680" w:bottom="816" w:left="697" w:header="0" w:footer="709" w:gutter="0"/>
      <w:pgNumType w:start="68"/>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BAC06" w16cex:dateUtc="2020-06-10T16:59:00Z"/>
  <w16cex:commentExtensible w16cex:durableId="2293C7EE" w16cex:dateUtc="2020-06-16T21:36:00Z"/>
  <w16cex:commentExtensible w16cex:durableId="2295E43F" w16cex:dateUtc="2020-06-18T11:01:00Z"/>
  <w16cex:commentExtensible w16cex:durableId="2295E543" w16cex:dateUtc="2020-06-18T11:06:00Z"/>
  <w16cex:commentExtensible w16cex:durableId="2295E5B3" w16cex:dateUtc="2020-06-18T11:08:00Z"/>
  <w16cex:commentExtensible w16cex:durableId="2295E769" w16cex:dateUtc="2020-06-18T11:15:00Z"/>
  <w16cex:commentExtensible w16cex:durableId="2295E6D1" w16cex:dateUtc="2020-06-18T11:12:00Z"/>
  <w16cex:commentExtensible w16cex:durableId="228B6B03" w16cex:dateUtc="2020-06-10T12:21:00Z"/>
  <w16cex:commentExtensible w16cex:durableId="2295EB00" w16cex:dateUtc="2020-06-18T11:30:00Z"/>
  <w16cex:commentExtensible w16cex:durableId="2295F302" w16cex:dateUtc="2020-06-18T12:04:00Z"/>
  <w16cex:commentExtensible w16cex:durableId="2295EC75" w16cex:dateUtc="2020-06-18T11:36:00Z"/>
  <w16cex:commentExtensible w16cex:durableId="228B6917" w16cex:dateUtc="2020-06-10T12:13:00Z"/>
  <w16cex:commentExtensible w16cex:durableId="228CF2C4" w16cex:dateUtc="2020-06-11T16:13:00Z"/>
  <w16cex:commentExtensible w16cex:durableId="2295F222" w16cex:dateUtc="2020-06-18T12:01:00Z"/>
  <w16cex:commentExtensible w16cex:durableId="2295F0F8" w16cex:dateUtc="2020-06-18T11:56:00Z"/>
  <w16cex:commentExtensible w16cex:durableId="2294654C" w16cex:dateUtc="2020-06-17T08:47:00Z"/>
  <w16cex:commentExtensible w16cex:durableId="2295F131" w16cex:dateUtc="2020-06-18T1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399DE" w14:textId="77777777" w:rsidR="00AC1BD6" w:rsidRDefault="00AC1BD6" w:rsidP="008B7AC9">
      <w:pPr>
        <w:spacing w:after="0" w:line="240" w:lineRule="auto"/>
      </w:pPr>
      <w:r>
        <w:separator/>
      </w:r>
    </w:p>
  </w:endnote>
  <w:endnote w:type="continuationSeparator" w:id="0">
    <w:p w14:paraId="55038291" w14:textId="77777777" w:rsidR="00AC1BD6" w:rsidRDefault="00AC1BD6" w:rsidP="008B7AC9">
      <w:pPr>
        <w:spacing w:after="0" w:line="240" w:lineRule="auto"/>
      </w:pPr>
      <w:r>
        <w:continuationSeparator/>
      </w:r>
    </w:p>
  </w:endnote>
  <w:endnote w:type="continuationNotice" w:id="1">
    <w:p w14:paraId="709C6A81" w14:textId="77777777" w:rsidR="00AC1BD6" w:rsidRDefault="00AC1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1418787"/>
      <w:docPartObj>
        <w:docPartGallery w:val="Page Numbers (Bottom of Page)"/>
        <w:docPartUnique/>
      </w:docPartObj>
    </w:sdtPr>
    <w:sdtEndPr>
      <w:rPr>
        <w:rStyle w:val="PageNumber"/>
      </w:rPr>
    </w:sdtEndPr>
    <w:sdtContent>
      <w:p w14:paraId="20C6D0A9" w14:textId="5B42410A" w:rsidR="00D7338C" w:rsidRDefault="00D7338C" w:rsidP="00C878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68</w:t>
        </w:r>
        <w:r>
          <w:rPr>
            <w:rStyle w:val="PageNumber"/>
          </w:rPr>
          <w:fldChar w:fldCharType="end"/>
        </w:r>
      </w:p>
    </w:sdtContent>
  </w:sdt>
  <w:p w14:paraId="57458331" w14:textId="77777777" w:rsidR="00D7338C" w:rsidRDefault="00D73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3335027"/>
      <w:docPartObj>
        <w:docPartGallery w:val="Page Numbers (Bottom of Page)"/>
        <w:docPartUnique/>
      </w:docPartObj>
    </w:sdtPr>
    <w:sdtEndPr>
      <w:rPr>
        <w:rStyle w:val="PageNumber"/>
      </w:rPr>
    </w:sdtEndPr>
    <w:sdtContent>
      <w:p w14:paraId="76F21BD2" w14:textId="3B337C01" w:rsidR="00D7338C" w:rsidRDefault="00D7338C" w:rsidP="00C878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sdtContent>
  </w:sdt>
  <w:p w14:paraId="7F503D78" w14:textId="3CC64AD3" w:rsidR="00B90A24" w:rsidRDefault="00B90A24" w:rsidP="0008460C">
    <w:pPr>
      <w:pStyle w:val="Footer"/>
    </w:pPr>
  </w:p>
  <w:p w14:paraId="79BD5206" w14:textId="77777777" w:rsidR="00B90A24" w:rsidRDefault="00B9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3DFAC" w14:textId="77777777" w:rsidR="00AC1BD6" w:rsidRDefault="00AC1BD6" w:rsidP="008B7AC9">
      <w:pPr>
        <w:spacing w:after="0" w:line="240" w:lineRule="auto"/>
      </w:pPr>
      <w:r>
        <w:separator/>
      </w:r>
    </w:p>
  </w:footnote>
  <w:footnote w:type="continuationSeparator" w:id="0">
    <w:p w14:paraId="4E5992A2" w14:textId="77777777" w:rsidR="00AC1BD6" w:rsidRDefault="00AC1BD6" w:rsidP="008B7AC9">
      <w:pPr>
        <w:spacing w:after="0" w:line="240" w:lineRule="auto"/>
      </w:pPr>
      <w:r>
        <w:continuationSeparator/>
      </w:r>
    </w:p>
  </w:footnote>
  <w:footnote w:type="continuationNotice" w:id="1">
    <w:p w14:paraId="0D8D1975" w14:textId="77777777" w:rsidR="00AC1BD6" w:rsidRDefault="00AC1BD6">
      <w:pPr>
        <w:spacing w:after="0" w:line="240" w:lineRule="auto"/>
      </w:pPr>
    </w:p>
  </w:footnote>
  <w:footnote w:id="2">
    <w:p w14:paraId="46C5BDB6" w14:textId="6872CDD1" w:rsidR="00B90A24" w:rsidRPr="00C5141D" w:rsidRDefault="00B90A24" w:rsidP="00D7338C">
      <w:pPr>
        <w:spacing w:line="240" w:lineRule="auto"/>
        <w:ind w:left="567" w:right="1031"/>
        <w:jc w:val="both"/>
        <w:rPr>
          <w:sz w:val="20"/>
          <w:szCs w:val="20"/>
        </w:rPr>
      </w:pPr>
      <w:r w:rsidRPr="00C5141D">
        <w:rPr>
          <w:rStyle w:val="FootnoteReference"/>
          <w:sz w:val="20"/>
          <w:szCs w:val="20"/>
        </w:rPr>
        <w:sym w:font="Symbol" w:char="F02A"/>
      </w:r>
      <w:r w:rsidRPr="00C5141D">
        <w:rPr>
          <w:sz w:val="20"/>
          <w:szCs w:val="20"/>
        </w:rPr>
        <w:t xml:space="preserve"> </w:t>
      </w:r>
      <w:r w:rsidRPr="00C5141D">
        <w:rPr>
          <w:b/>
          <w:sz w:val="20"/>
          <w:szCs w:val="20"/>
        </w:rPr>
        <w:t>Rachel Etter-Phoya</w:t>
      </w:r>
      <w:r w:rsidRPr="00C5141D">
        <w:rPr>
          <w:sz w:val="20"/>
          <w:szCs w:val="20"/>
        </w:rPr>
        <w:t xml:space="preserve"> is the Tax Justice Network’s Anglophone African Hub Researcher. Based in Lilongwe, Malawi, she works on the Financial Secrecy and Tax Advocacy in Africa project and contributes to the biennial Financial Secrecy Index and Corporate Tax Haven Index. Her research interests include the tax transparency, the extractive industries and inequality through a postcolonial lens. She formerly worked with Malawian human rights organisation Citizens for Justice and the Revenue Development Foundation. Rachel holds an LLM in Natural Resources Law and Policy (University of Dundee, UK), an MSc in Rural Development (Royal Agricultural University, UK) as well as a BA in Anthropology and English (University of Zurich, Switzerland). (</w:t>
      </w:r>
      <w:hyperlink r:id="rId1" w:history="1">
        <w:r w:rsidRPr="00C5141D">
          <w:rPr>
            <w:rStyle w:val="Hyperlink"/>
            <w:sz w:val="20"/>
            <w:szCs w:val="20"/>
            <w:u w:val="none"/>
          </w:rPr>
          <w:t>rachel@taxjustice.net</w:t>
        </w:r>
      </w:hyperlink>
      <w:r w:rsidRPr="00C5141D">
        <w:rPr>
          <w:sz w:val="20"/>
          <w:szCs w:val="20"/>
        </w:rPr>
        <w:t xml:space="preserve">) </w:t>
      </w:r>
      <w:r w:rsidRPr="00C5141D">
        <w:rPr>
          <w:b/>
          <w:sz w:val="20"/>
          <w:szCs w:val="20"/>
        </w:rPr>
        <w:t>Markus Meinzer</w:t>
      </w:r>
      <w:r w:rsidRPr="00C5141D">
        <w:rPr>
          <w:sz w:val="20"/>
          <w:szCs w:val="20"/>
        </w:rPr>
        <w:t xml:space="preserve"> is a senior analyst and director of the Tax Justice Network and is the lead researcher on the Financial Secrecy Index. His </w:t>
      </w:r>
      <w:hyperlink r:id="rId2" w:tgtFrame="_blank" w:history="1">
        <w:r w:rsidRPr="00C5141D">
          <w:rPr>
            <w:rStyle w:val="Hyperlink"/>
            <w:color w:val="000000" w:themeColor="text1"/>
            <w:sz w:val="20"/>
            <w:szCs w:val="20"/>
            <w:u w:val="none"/>
          </w:rPr>
          <w:t>thesis</w:t>
        </w:r>
      </w:hyperlink>
      <w:r w:rsidRPr="00C5141D">
        <w:rPr>
          <w:color w:val="000000" w:themeColor="text1"/>
          <w:sz w:val="20"/>
          <w:szCs w:val="20"/>
        </w:rPr>
        <w:t> assessed the OECD’s policy design between 2008 and 2018 in countering cross-border tax evasion and avoidance. He also authored the book </w:t>
      </w:r>
      <w:hyperlink r:id="rId3" w:tgtFrame="_blank" w:history="1">
        <w:r w:rsidRPr="00C5141D">
          <w:rPr>
            <w:rStyle w:val="Hyperlink"/>
            <w:color w:val="000000" w:themeColor="text1"/>
            <w:sz w:val="20"/>
            <w:szCs w:val="20"/>
            <w:u w:val="none"/>
          </w:rPr>
          <w:t>Tax Haven Germany (Steueroase Deutschland)</w:t>
        </w:r>
      </w:hyperlink>
      <w:r w:rsidRPr="00C5141D">
        <w:rPr>
          <w:color w:val="000000" w:themeColor="text1"/>
          <w:sz w:val="20"/>
          <w:szCs w:val="20"/>
        </w:rPr>
        <w:t>, published by C.H. Beck in 2015, and was the Tax Justice Network’s principal investigator on the EU research project Combatting Fiscal Fraud and Empowering Regulator (</w:t>
      </w:r>
      <w:hyperlink r:id="rId4" w:tgtFrame="_blank" w:history="1">
        <w:r w:rsidRPr="00C5141D">
          <w:rPr>
            <w:rStyle w:val="Hyperlink"/>
            <w:color w:val="000000" w:themeColor="text1"/>
            <w:sz w:val="20"/>
            <w:szCs w:val="20"/>
            <w:u w:val="none"/>
          </w:rPr>
          <w:t>COFFERS</w:t>
        </w:r>
      </w:hyperlink>
      <w:r w:rsidRPr="00C5141D">
        <w:rPr>
          <w:color w:val="000000" w:themeColor="text1"/>
          <w:sz w:val="20"/>
          <w:szCs w:val="20"/>
        </w:rPr>
        <w:t>,</w:t>
      </w:r>
      <w:r w:rsidRPr="00C5141D">
        <w:rPr>
          <w:sz w:val="20"/>
          <w:szCs w:val="20"/>
        </w:rPr>
        <w:t xml:space="preserve"> Horizon 2020), which ended in January 2020. He holds a PhD in Economics from the University of Utrecht, Netherlands. He studied development economics as a component of his political science degree at the Free University of Berlin and was an exchange student at the University of Sussex (UK).</w:t>
      </w:r>
      <w:r w:rsidR="00D7338C" w:rsidRPr="00C5141D">
        <w:rPr>
          <w:sz w:val="20"/>
          <w:szCs w:val="20"/>
        </w:rPr>
        <w:t xml:space="preserve"> </w:t>
      </w:r>
      <w:r w:rsidRPr="00C5141D">
        <w:rPr>
          <w:b/>
          <w:sz w:val="20"/>
          <w:szCs w:val="20"/>
        </w:rPr>
        <w:t>Shanna Nogueira Lima</w:t>
      </w:r>
      <w:r w:rsidRPr="00C5141D">
        <w:rPr>
          <w:sz w:val="20"/>
          <w:szCs w:val="20"/>
        </w:rPr>
        <w:t xml:space="preserve"> formerly worked as a researcher at the Tax Justice Network’s Financial Secrecy and Tax Advocacy in Latin America (FASTLA) project and as a programme manager at the Brazilian Development Bank. Her research interests include tax transparency, property tax reforms in the Global South, and the mobilisation of knowledge for policy design. She holds an MA in Development Studies from the Institute of Development Studies (IDS) at the University of Sussex and a master’s in economics from the Federal University of Rio de Janeiro (UFRJ).</w:t>
      </w:r>
    </w:p>
    <w:p w14:paraId="2B0BC0F1" w14:textId="77777777" w:rsidR="00B90A24" w:rsidRPr="00B90A24" w:rsidRDefault="00B90A24" w:rsidP="00B90A24">
      <w:pPr>
        <w:pStyle w:val="FootnoteText"/>
        <w:ind w:left="567" w:right="1031"/>
        <w:jc w:val="both"/>
      </w:pPr>
    </w:p>
    <w:p w14:paraId="1C251354" w14:textId="5DB97FA3" w:rsidR="00B90A24" w:rsidRPr="00B90A24" w:rsidRDefault="00B90A24" w:rsidP="00B90A24">
      <w:pPr>
        <w:pStyle w:val="FootnoteText"/>
        <w:ind w:right="1031"/>
        <w:jc w:val="both"/>
      </w:pPr>
    </w:p>
  </w:footnote>
  <w:footnote w:id="3">
    <w:p w14:paraId="4FEC2A88" w14:textId="27961086"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Nine of the 64 jurisdictions covered in the Corporate Tax Haven Index are African. They were selected for inclusion in the Corporate Tax Haven Index because of their prior coverage in the Financial Secrecy Index 2018 (</w:t>
      </w:r>
      <w:r w:rsidRPr="00582D87">
        <w:rPr>
          <w:rFonts w:cs="Times New Roman"/>
        </w:rPr>
        <w:fldChar w:fldCharType="begin"/>
      </w:r>
      <w:r>
        <w:rPr>
          <w:rFonts w:cs="Times New Roman"/>
        </w:rPr>
        <w:instrText xml:space="preserve"> ADDIN ZOTERO_ITEM CSL_CITATION {"citationID":"TmQrPCeA","properties":{"formattedCitation":"Tax Justice Network, {\\i{}Financial Secrecy Index 2018 - Methodology} (London, 2018) &lt;https://www.financialsecrecyindex.com/PDF/FSI-Methodology.pdf&gt; [accessed 14 February 2018].","plainCitation":"Tax Justice Network, Financial Secrecy Index 2018 - Methodology (London, 2018) &lt;https://www.financialsecrecyindex.com/PDF/FSI-Methodology.pdf&gt; [accessed 14 February 2018].","dontUpdate":true,"noteIndex":2},"citationItems":[{"id":"LppWUde1/eRzPsUxt","uris":["http://zotero.org/users/1521920/items/UKZ3RT6H"],"uri":["http://zotero.org/users/1521920/items/UKZ3RT6H"],"itemData":{"id":8532,"type":"report","event-place":"London","publisher-place":"London","title":"Financial Secrecy Index 2018 - Methodology","title-short":"Financial Secrecy Index 2018 - Methodology","URL":"https://www.financialsecrecyindex.com/PDF/FSI-Methodology.pdf","author":[{"literal":"Tax Justice Network"}],"accessed":{"date-parts":[["2018",2,14]]},"issued":{"date-parts":[["2018"]]}}}],"schema":"https://github.com/citation-style-language/schema/raw/master/csl-citation.json"} </w:instrText>
      </w:r>
      <w:r w:rsidRPr="00582D87">
        <w:rPr>
          <w:rFonts w:cs="Times New Roman"/>
        </w:rPr>
        <w:fldChar w:fldCharType="separate"/>
      </w:r>
      <w:r w:rsidRPr="00582D87">
        <w:rPr>
          <w:rFonts w:cs="Times New Roman"/>
        </w:rPr>
        <w:t xml:space="preserve">Tax Justice Network, </w:t>
      </w:r>
      <w:r w:rsidRPr="00582D87">
        <w:rPr>
          <w:rFonts w:cs="Times New Roman"/>
          <w:i/>
          <w:iCs/>
        </w:rPr>
        <w:t>Financial Secrecy Index 2018 - Methodology</w:t>
      </w:r>
      <w:r w:rsidRPr="00582D87">
        <w:rPr>
          <w:rFonts w:cs="Times New Roman"/>
        </w:rPr>
        <w:t xml:space="preserve"> (London, 2018) &lt;https://www.financialsecrecyindex.com/PDF/FSI-Methodology.pdf&gt; [accessed 14 February 2018]).</w:t>
      </w:r>
      <w:r w:rsidRPr="00582D87">
        <w:rPr>
          <w:rFonts w:cs="Times New Roman"/>
        </w:rPr>
        <w:fldChar w:fldCharType="end"/>
      </w:r>
      <w:r w:rsidRPr="00582D87">
        <w:rPr>
          <w:rFonts w:cs="Times New Roman"/>
        </w:rPr>
        <w:t xml:space="preserve"> </w:t>
      </w:r>
    </w:p>
  </w:footnote>
  <w:footnote w:id="4">
    <w:p w14:paraId="5F5FF915" w14:textId="77777777" w:rsidR="00B90A24" w:rsidRDefault="00B90A24" w:rsidP="00B90A24">
      <w:pPr>
        <w:pStyle w:val="FootnoteText"/>
        <w:ind w:left="567" w:right="1031"/>
        <w:jc w:val="both"/>
      </w:pPr>
      <w:r w:rsidRPr="00107758">
        <w:rPr>
          <w:rStyle w:val="FootnoteReference"/>
        </w:rPr>
        <w:footnoteRef/>
      </w:r>
      <w:r>
        <w:t xml:space="preserve"> Dependencies assessed in the Corporate Tax Haven Index 2019 include the overseas territories and crown </w:t>
      </w:r>
      <w:r w:rsidRPr="007448BC">
        <w:rPr>
          <w:rFonts w:cs="Times New Roman"/>
        </w:rPr>
        <w:t>dependencies</w:t>
      </w:r>
      <w:r>
        <w:t xml:space="preserve"> of the United Kingdom and dependencies of the Netherlands. In alphabetical order, these are: Anguilla, Aruba (NL), Bermuda, British Virgin Islands, Cayman Islands, Curacao (NL), Gibraltar, Guernsey, Isle of Man Jersey, Montserrat, and Turks and Caicos Islands.</w:t>
      </w:r>
    </w:p>
  </w:footnote>
  <w:footnote w:id="5">
    <w:p w14:paraId="471EEAC9" w14:textId="52AC181B"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This section draws extensively from </w:t>
      </w:r>
      <w:r w:rsidRPr="00582D87">
        <w:rPr>
          <w:rFonts w:cs="Times New Roman"/>
        </w:rPr>
        <w:fldChar w:fldCharType="begin"/>
      </w:r>
      <w:r>
        <w:rPr>
          <w:rFonts w:cs="Times New Roman"/>
        </w:rPr>
        <w:instrText xml:space="preserve"> ADDIN ZOTERO_ITEM CSL_CITATION {"citationID":"3fNFbxWf","properties":{"formattedCitation":"(Tax Justice Network, 2019b)","plainCitation":"(Tax Justice Network, 2019b)","dontUpdate":true,"noteIndex":4},"citationItems":[{"id":4234,"uris":["http://zotero.org/groups/997303/items/3QY3BQG9"],"uri":["http://zotero.org/groups/997303/items/3QY3BQG9"],"itemData":{"id":4234,"type":"report","title":"Corporate Tax Haven Index (CTHI) 2019 Methodology","URL":"https://www.corporatetaxhavenindex.org/PDF/CTHI-Methodology.pdf","author":[{"family":"Tax Justice Network","given":""}],"accessed":{"date-parts":[["2019",6,4]]},"issued":{"date-parts":[["2019"]]}}}],"schema":"https://github.com/citation-style-language/schema/raw/master/csl-citation.json"} </w:instrText>
      </w:r>
      <w:r w:rsidRPr="00582D87">
        <w:rPr>
          <w:rFonts w:cs="Times New Roman"/>
        </w:rPr>
        <w:fldChar w:fldCharType="separate"/>
      </w:r>
      <w:r w:rsidRPr="00582D87">
        <w:rPr>
          <w:rFonts w:cs="Times New Roman"/>
        </w:rPr>
        <w:t>Tax Justice Network, 2019b</w:t>
      </w:r>
      <w:r w:rsidRPr="00582D87">
        <w:rPr>
          <w:rFonts w:cs="Times New Roman"/>
        </w:rPr>
        <w:fldChar w:fldCharType="end"/>
      </w:r>
      <w:r w:rsidRPr="00582D87">
        <w:rPr>
          <w:rFonts w:cs="Times New Roman"/>
        </w:rPr>
        <w:t>.</w:t>
      </w:r>
    </w:p>
  </w:footnote>
  <w:footnote w:id="6">
    <w:p w14:paraId="69C467A5" w14:textId="669728E5" w:rsidR="00B90A24" w:rsidRPr="00413C19" w:rsidRDefault="00B90A24" w:rsidP="00B90A24">
      <w:pPr>
        <w:pStyle w:val="FootnoteText"/>
        <w:ind w:left="567" w:right="1031"/>
        <w:rPr>
          <w:lang w:val="de-DE"/>
        </w:rPr>
      </w:pPr>
      <w:r w:rsidRPr="00107758">
        <w:rPr>
          <w:rStyle w:val="FootnoteReference"/>
        </w:rPr>
        <w:footnoteRef/>
      </w:r>
      <w:r>
        <w:t xml:space="preserve"> </w:t>
      </w:r>
      <w:r>
        <w:rPr>
          <w:lang w:val="de-DE"/>
        </w:rPr>
        <w:t xml:space="preserve">For a detailed discussion of the formula combining the two components, see </w:t>
      </w:r>
      <w:r>
        <w:rPr>
          <w:lang w:val="de-DE"/>
        </w:rPr>
        <w:fldChar w:fldCharType="begin"/>
      </w:r>
      <w:r>
        <w:rPr>
          <w:lang w:val="de-DE"/>
        </w:rPr>
        <w:instrText xml:space="preserve"> ADDIN ZOTERO_ITEM CSL_CITATION {"citationID":"VL8Rwy1z","properties":{"formattedCitation":"(Ates et al., forthcoming, pp. 137\\uc0\\u8211{}138; Tax Justice Network, 2018, pp. 158\\uc0\\u8211{}198)","plainCitation":"(Ates et al., forthcoming, pp. 137–138; Tax Justice Network, 2018, pp. 158–198)","dontUpdate":true,"noteIndex":5},"citationItems":[{"id":5503,"uris":["http://zotero.org/groups/997303/items/ZM799E5W"],"uri":["http://zotero.org/groups/997303/items/ZM799E5W"],"itemData":{"id":5503,"type":"chapter","container-title":"COFFERS volume","publisher":"Oxford University Press","title":"The Corporate Tax Haven Index: A new geography of profit shifting","author":[{"family":"Ates","given":"Leyla"},{"family":"Cobham","given":"Alex"},{"family":"Harari","given":"Moran"},{"family":"Janský","given":"Petr"},{"family":"Meinzer","given":"Markus"},{"family":"Millan-Narotzky","given":"Lucas"},{"family":"Palanský","given":"Miroslav"}],"issued":{"literal":"forthcoming"}},"locator":"137-138"},{"id":"LppWUde1/eRzPsUxt","uris":["http://zotero.org/users/1521920/items/UKZ3RT6H"],"uri":["http://zotero.org/users/1521920/items/UKZ3RT6H"],"itemData":{"id":8532,"type":"report","event-place":"London","publisher-place":"London","title":"Financial Secrecy Index 2018 - Methodology","title-short":"Financial Secrecy Index 2018 - Methodology","URL":"https://www.financialsecrecyindex.com/PDF/FSI-Methodology.pdf","author":[{"literal":"Tax Justice Network"}],"accessed":{"date-parts":[["2018",2,14]]},"issued":{"date-parts":[["2018"]]}},"locator":"158-198"}],"schema":"https://github.com/citation-style-language/schema/raw/master/csl-citation.json"} </w:instrText>
      </w:r>
      <w:r>
        <w:rPr>
          <w:lang w:val="de-DE"/>
        </w:rPr>
        <w:fldChar w:fldCharType="separate"/>
      </w:r>
      <w:r w:rsidRPr="00413C19">
        <w:rPr>
          <w:rFonts w:cs="Times New Roman"/>
          <w:szCs w:val="24"/>
        </w:rPr>
        <w:t>Ates et al., forthcoming, pp. 137–138</w:t>
      </w:r>
      <w:r>
        <w:rPr>
          <w:rFonts w:cs="Times New Roman"/>
          <w:szCs w:val="24"/>
        </w:rPr>
        <w:t xml:space="preserve"> and</w:t>
      </w:r>
      <w:r w:rsidRPr="00413C19">
        <w:rPr>
          <w:rFonts w:cs="Times New Roman"/>
          <w:szCs w:val="24"/>
        </w:rPr>
        <w:t xml:space="preserve"> Tax Justice Network, 2018, pp. 158–198</w:t>
      </w:r>
      <w:r>
        <w:rPr>
          <w:lang w:val="de-DE"/>
        </w:rPr>
        <w:fldChar w:fldCharType="end"/>
      </w:r>
      <w:r>
        <w:rPr>
          <w:lang w:val="de-DE"/>
        </w:rPr>
        <w:t>.</w:t>
      </w:r>
    </w:p>
  </w:footnote>
  <w:footnote w:id="7">
    <w:p w14:paraId="378D3A5C" w14:textId="77777777" w:rsidR="00B90A24" w:rsidRPr="008477A0" w:rsidRDefault="00B90A24" w:rsidP="00B90A24">
      <w:pPr>
        <w:pStyle w:val="FootnoteText"/>
        <w:ind w:left="567" w:right="1031"/>
        <w:jc w:val="both"/>
        <w:rPr>
          <w:rFonts w:cs="Times New Roman"/>
        </w:rPr>
      </w:pPr>
      <w:r w:rsidRPr="00107758">
        <w:rPr>
          <w:rStyle w:val="FootnoteReference"/>
        </w:rPr>
        <w:footnoteRef/>
      </w:r>
      <w:r w:rsidRPr="008477A0">
        <w:rPr>
          <w:rFonts w:cs="Times New Roman"/>
        </w:rPr>
        <w:t xml:space="preserve"> </w:t>
      </w:r>
      <w:r w:rsidRPr="008477A0">
        <w:rPr>
          <w:rFonts w:eastAsia="Times New Roman" w:cs="Times New Roman"/>
          <w:lang w:eastAsia="en-GB"/>
        </w:rPr>
        <w:t>The CTHI Value is calculated by multiplying the cube of the Haven Score with the cube root of the Global Scale Weight. The final result is divided through by one hundred for presentational clarity.</w:t>
      </w:r>
    </w:p>
  </w:footnote>
  <w:footnote w:id="8">
    <w:p w14:paraId="4004A3A7" w14:textId="77777777" w:rsidR="00B90A24" w:rsidRPr="008477A0" w:rsidRDefault="00B90A24" w:rsidP="00B90A24">
      <w:pPr>
        <w:pStyle w:val="FootnoteText"/>
        <w:ind w:left="567" w:right="1031"/>
        <w:jc w:val="both"/>
        <w:rPr>
          <w:rFonts w:cs="Times New Roman"/>
        </w:rPr>
      </w:pPr>
      <w:r w:rsidRPr="00107758">
        <w:rPr>
          <w:rStyle w:val="FootnoteReference"/>
        </w:rPr>
        <w:footnoteRef/>
      </w:r>
      <w:r w:rsidRPr="008477A0">
        <w:rPr>
          <w:rFonts w:cs="Times New Roman"/>
        </w:rPr>
        <w:t xml:space="preserve"> </w:t>
      </w:r>
      <w:r w:rsidRPr="008477A0">
        <w:rPr>
          <w:rFonts w:eastAsia="Times New Roman" w:cs="Times New Roman"/>
          <w:lang w:eastAsia="en-GB"/>
        </w:rPr>
        <w:t>The CTHI Share is calculated by summing up all CTHI Values, and then dividing each countries CTHI Value by the total sum, expressed in percentages.</w:t>
      </w:r>
    </w:p>
  </w:footnote>
  <w:footnote w:id="9">
    <w:p w14:paraId="0D071B68" w14:textId="01C96A35" w:rsidR="00B90A24" w:rsidRPr="008477A0" w:rsidRDefault="00B90A24" w:rsidP="00B90A24">
      <w:pPr>
        <w:pStyle w:val="FootnoteText"/>
        <w:ind w:left="567" w:right="1031"/>
        <w:jc w:val="both"/>
        <w:rPr>
          <w:rFonts w:cs="Times New Roman"/>
        </w:rPr>
      </w:pPr>
      <w:r w:rsidRPr="00107758">
        <w:rPr>
          <w:rStyle w:val="FootnoteReference"/>
        </w:rPr>
        <w:footnoteRef/>
      </w:r>
      <w:r w:rsidRPr="008477A0">
        <w:rPr>
          <w:rFonts w:cs="Times New Roman"/>
        </w:rPr>
        <w:t xml:space="preserve"> </w:t>
      </w:r>
      <w:bookmarkStart w:id="14" w:name="_Hlk37930695"/>
      <w:r w:rsidRPr="008477A0">
        <w:rPr>
          <w:rFonts w:eastAsia="Times New Roman" w:cs="Times New Roman"/>
          <w:lang w:eastAsia="en-GB"/>
        </w:rPr>
        <w:t xml:space="preserve">The Haven Score is calculated based on 20 indicators. For full explanation of the methodology and data sources, </w:t>
      </w:r>
      <w:r>
        <w:rPr>
          <w:rFonts w:eastAsia="Times New Roman" w:cs="Times New Roman"/>
          <w:lang w:eastAsia="en-GB"/>
        </w:rPr>
        <w:t xml:space="preserve">see </w:t>
      </w:r>
      <w:r>
        <w:rPr>
          <w:rFonts w:eastAsia="Times New Roman" w:cs="Times New Roman"/>
          <w:lang w:eastAsia="en-GB"/>
        </w:rPr>
        <w:fldChar w:fldCharType="begin"/>
      </w:r>
      <w:r>
        <w:rPr>
          <w:rFonts w:eastAsia="Times New Roman" w:cs="Times New Roman"/>
          <w:lang w:eastAsia="en-GB"/>
        </w:rPr>
        <w:instrText xml:space="preserve"> ADDIN ZOTERO_ITEM CSL_CITATION {"citationID":"uDwtLf4X","properties":{"formattedCitation":"(Tax Justice Network, 2019b)","plainCitation":"(Tax Justice Network, 2019b)","dontUpdate":true,"noteIndex":8},"citationItems":[{"id":4234,"uris":["http://zotero.org/groups/997303/items/3QY3BQG9"],"uri":["http://zotero.org/groups/997303/items/3QY3BQG9"],"itemData":{"id":4234,"type":"report","title":"Corporate Tax Haven Index (CTHI) 2019 Methodology","URL":"https://www.corporatetaxhavenindex.org/PDF/CTHI-Methodology.pdf","author":[{"family":"Tax Justice Network","given":""}],"accessed":{"date-parts":[["2019",6,4]]},"issued":{"date-parts":[["2019"]]}}}],"schema":"https://github.com/citation-style-language/schema/raw/master/csl-citation.json"} </w:instrText>
      </w:r>
      <w:r>
        <w:rPr>
          <w:rFonts w:eastAsia="Times New Roman" w:cs="Times New Roman"/>
          <w:lang w:eastAsia="en-GB"/>
        </w:rPr>
        <w:fldChar w:fldCharType="separate"/>
      </w:r>
      <w:r w:rsidRPr="008477A0">
        <w:rPr>
          <w:rFonts w:cs="Times New Roman"/>
        </w:rPr>
        <w:t>Tax Justice Network, 2019b</w:t>
      </w:r>
      <w:r>
        <w:rPr>
          <w:rFonts w:cs="Times New Roman"/>
        </w:rPr>
        <w:t>.</w:t>
      </w:r>
      <w:r>
        <w:rPr>
          <w:rFonts w:eastAsia="Times New Roman" w:cs="Times New Roman"/>
          <w:lang w:eastAsia="en-GB"/>
        </w:rPr>
        <w:fldChar w:fldCharType="end"/>
      </w:r>
      <w:r w:rsidRPr="008477A0">
        <w:rPr>
          <w:rFonts w:eastAsia="Times New Roman" w:cs="Times New Roman"/>
          <w:lang w:eastAsia="en-GB"/>
        </w:rPr>
        <w:t xml:space="preserve">  </w:t>
      </w:r>
      <w:bookmarkEnd w:id="14"/>
    </w:p>
  </w:footnote>
  <w:footnote w:id="10">
    <w:p w14:paraId="64B3212C" w14:textId="067869DE" w:rsidR="00B90A24" w:rsidRPr="008371FB" w:rsidRDefault="00B90A24" w:rsidP="00B90A24">
      <w:pPr>
        <w:pStyle w:val="FootnoteText"/>
        <w:ind w:left="567" w:right="1031"/>
        <w:jc w:val="both"/>
        <w:rPr>
          <w:rFonts w:cs="Times New Roman"/>
          <w:sz w:val="16"/>
          <w:szCs w:val="16"/>
        </w:rPr>
      </w:pPr>
      <w:r w:rsidRPr="00107758">
        <w:rPr>
          <w:rStyle w:val="FootnoteReference"/>
        </w:rPr>
        <w:footnoteRef/>
      </w:r>
      <w:r w:rsidRPr="008477A0">
        <w:rPr>
          <w:rFonts w:cs="Times New Roman"/>
        </w:rPr>
        <w:t xml:space="preserve"> </w:t>
      </w:r>
      <w:bookmarkStart w:id="15" w:name="_Hlk37930684"/>
      <w:r w:rsidRPr="008477A0">
        <w:rPr>
          <w:rFonts w:eastAsia="Times New Roman" w:cs="Times New Roman"/>
          <w:lang w:eastAsia="en-GB"/>
        </w:rPr>
        <w:t xml:space="preserve">The Global Scale Weight represent a jurisdiction's share in global foreign direct investment (inward and outward). For full explanation of the methodology and data sources, </w:t>
      </w:r>
      <w:r>
        <w:rPr>
          <w:rFonts w:eastAsia="Times New Roman" w:cs="Times New Roman"/>
          <w:lang w:eastAsia="en-GB"/>
        </w:rPr>
        <w:t xml:space="preserve">see </w:t>
      </w:r>
      <w:r>
        <w:rPr>
          <w:rFonts w:eastAsia="Times New Roman" w:cs="Times New Roman"/>
          <w:lang w:eastAsia="en-GB"/>
        </w:rPr>
        <w:fldChar w:fldCharType="begin"/>
      </w:r>
      <w:r>
        <w:rPr>
          <w:rFonts w:eastAsia="Times New Roman" w:cs="Times New Roman"/>
          <w:lang w:eastAsia="en-GB"/>
        </w:rPr>
        <w:instrText xml:space="preserve"> ADDIN ZOTERO_ITEM CSL_CITATION {"citationID":"OUG4XiXo","properties":{"formattedCitation":"(Tax Justice Network, 2019b)","plainCitation":"(Tax Justice Network, 2019b)","dontUpdate":true,"noteIndex":9},"citationItems":[{"id":4234,"uris":["http://zotero.org/groups/997303/items/3QY3BQG9"],"uri":["http://zotero.org/groups/997303/items/3QY3BQG9"],"itemData":{"id":4234,"type":"report","title":"Corporate Tax Haven Index (CTHI) 2019 Methodology","URL":"https://www.corporatetaxhavenindex.org/PDF/CTHI-Methodology.pdf","author":[{"family":"Tax Justice Network","given":""}],"accessed":{"date-parts":[["2019",6,4]]},"issued":{"date-parts":[["2019"]]}}}],"schema":"https://github.com/citation-style-language/schema/raw/master/csl-citation.json"} </w:instrText>
      </w:r>
      <w:r>
        <w:rPr>
          <w:rFonts w:eastAsia="Times New Roman" w:cs="Times New Roman"/>
          <w:lang w:eastAsia="en-GB"/>
        </w:rPr>
        <w:fldChar w:fldCharType="separate"/>
      </w:r>
      <w:r w:rsidRPr="008477A0">
        <w:rPr>
          <w:rFonts w:cs="Times New Roman"/>
        </w:rPr>
        <w:t>Tax Justice Network, 2019b</w:t>
      </w:r>
      <w:r>
        <w:rPr>
          <w:rFonts w:cs="Times New Roman"/>
        </w:rPr>
        <w:t>.</w:t>
      </w:r>
      <w:r>
        <w:rPr>
          <w:rFonts w:eastAsia="Times New Roman" w:cs="Times New Roman"/>
          <w:lang w:eastAsia="en-GB"/>
        </w:rPr>
        <w:fldChar w:fldCharType="end"/>
      </w:r>
      <w:bookmarkEnd w:id="15"/>
      <w:r w:rsidRPr="008477A0">
        <w:rPr>
          <w:rFonts w:eastAsia="Times New Roman" w:cs="Times New Roman"/>
          <w:lang w:eastAsia="en-GB"/>
        </w:rPr>
        <w:t xml:space="preserve">  </w:t>
      </w:r>
    </w:p>
  </w:footnote>
  <w:footnote w:id="11">
    <w:p w14:paraId="4CDB3678" w14:textId="22F51164"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This section draws on</w:t>
      </w:r>
      <w:r w:rsidRPr="00582D87">
        <w:rPr>
          <w:rFonts w:cs="Times New Roman"/>
        </w:rPr>
        <w:fldChar w:fldCharType="begin"/>
      </w:r>
      <w:r>
        <w:rPr>
          <w:rFonts w:cs="Times New Roman"/>
        </w:rPr>
        <w:instrText xml:space="preserve"> ADDIN ZOTERO_ITEM CSL_CITATION {"citationID":"XJRXo7ry","properties":{"formattedCitation":"(Tax Justice Network, 2015, 2019d, p. 10)","plainCitation":"(Tax Justice Network, 2015, 2019d, p. 10)","dontUpdate":true,"noteIndex":10},"citationItems":[{"id":4252,"uris":["http://zotero.org/groups/997303/items/75KF6MXT"],"uri":["http://zotero.org/groups/997303/items/75KF6MXT"],"itemData":{"id":4252,"type":"report","collection-title":"Corporate Tax Haven Index 2019","genre":"Key Corporate Tax Haven Indicators","publisher":"Tax Jutice Network","title":"Haven Indicator 1: Lowest Available Corporate Income Tax Rate (LACIT)","URL":"https://www.corporatetaxhavenindex.org/PDF/1-Corporate-Income-Tax-LACIT.pdf","author":[{"family":"Tax Justice Network","given":""}],"accessed":{"date-parts":[["2019",6,5]]},"issued":{"date-parts":[["2019"]]}},"locator":"10"},{"id":2956,"uris":["http://zotero.org/groups/997303/items/A8K9JGXQ"],"uri":["http://zotero.org/groups/997303/items/A8K9JGXQ"],"itemData":{"id":2956,"type":"report","title":"Ten Reasons to Defend the Corporation Tax","URL":"https://www.taxjustice.net/wp-content/uploads/2013/04/Ten_Reasons_Full_Report.pdf","author":[{"family":"Tax Justice Network","given":""}],"accessed":{"date-parts":[["2018",7,17]]},"issued":{"date-parts":[["2015"]]}}}],"schema":"https://github.com/citation-style-language/schema/raw/master/csl-citation.json"} </w:instrText>
      </w:r>
      <w:r w:rsidRPr="00582D87">
        <w:rPr>
          <w:rFonts w:cs="Times New Roman"/>
        </w:rPr>
        <w:fldChar w:fldCharType="separate"/>
      </w:r>
      <w:r w:rsidRPr="00582D87">
        <w:rPr>
          <w:rFonts w:cs="Times New Roman"/>
        </w:rPr>
        <w:t xml:space="preserve"> Tax Justice Network, 2015, 2019d, p. 10</w:t>
      </w:r>
      <w:r w:rsidRPr="00582D87">
        <w:rPr>
          <w:rFonts w:cs="Times New Roman"/>
        </w:rPr>
        <w:fldChar w:fldCharType="end"/>
      </w:r>
      <w:r w:rsidRPr="00582D87">
        <w:rPr>
          <w:rFonts w:cs="Times New Roman"/>
        </w:rPr>
        <w:t>.</w:t>
      </w:r>
    </w:p>
  </w:footnote>
  <w:footnote w:id="12">
    <w:p w14:paraId="10C5693F" w14:textId="6E1BE0E2"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While the Global Business Companies (GBC2) regime was abolished in 2018, GBC2 issued on or before 16 October 2017 will be valid until 30 June </w:t>
      </w:r>
      <w:r w:rsidRPr="0008460C">
        <w:rPr>
          <w:rFonts w:cs="Times New Roman"/>
        </w:rPr>
        <w:t>2021</w:t>
      </w:r>
      <w:r>
        <w:rPr>
          <w:rFonts w:cs="Times New Roman"/>
        </w:rPr>
        <w:t>, and are thus still in place at the time of this assessment</w:t>
      </w:r>
      <w:r w:rsidRPr="0008460C">
        <w:rPr>
          <w:rFonts w:cs="Times New Roman"/>
        </w:rPr>
        <w:t xml:space="preserve"> </w:t>
      </w:r>
      <w:r w:rsidRPr="0008460C">
        <w:fldChar w:fldCharType="begin"/>
      </w:r>
      <w:r>
        <w:instrText xml:space="preserve"> ADDIN ZOTERO_ITEM CSL_CITATION {"citationID":"zDlrbhLW","properties":{"formattedCitation":"(Veerasamy, 2019)","plainCitation":"(Veerasamy, 2019)","noteIndex":11},"citationItems":[{"id":5524,"uris":["http://zotero.org/groups/997303/items/MS6QLYZ2"],"uri":["http://zotero.org/groups/997303/items/MS6QLYZ2"],"itemData":{"id":5524,"type":"webpage","container-title":"Mondaq","title":"Tax Regime Changes For Corporations In Mauritius - Finance and Banking - Mauritius","URL":"https://www.mondaq.com/Finance-and-Banking/775736/Tax-Regime-Changes-For-Corporations-In-Mauritius","author":[{"family":"Veerasamy","given":"Naiken"}],"accessed":{"date-parts":[["2020",3,12]]},"issued":{"date-parts":[["2019",1,29]]}}}],"schema":"https://github.com/citation-style-language/schema/raw/master/csl-citation.json"} </w:instrText>
      </w:r>
      <w:r w:rsidRPr="0008460C">
        <w:fldChar w:fldCharType="separate"/>
      </w:r>
      <w:r w:rsidRPr="00B133DE">
        <w:rPr>
          <w:rFonts w:cs="Times New Roman"/>
        </w:rPr>
        <w:t>(Veerasamy, 2019)</w:t>
      </w:r>
      <w:r w:rsidRPr="0008460C">
        <w:fldChar w:fldCharType="end"/>
      </w:r>
      <w:r w:rsidRPr="0008460C">
        <w:rPr>
          <w:rFonts w:cs="Times New Roman"/>
        </w:rPr>
        <w:t>.</w:t>
      </w:r>
      <w:r>
        <w:rPr>
          <w:rFonts w:cs="Times New Roman"/>
        </w:rPr>
        <w:t xml:space="preserve"> </w:t>
      </w:r>
    </w:p>
  </w:footnote>
  <w:footnote w:id="13">
    <w:p w14:paraId="04299933" w14:textId="2A9B0E7B"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For further information, see </w:t>
      </w:r>
      <w:r w:rsidRPr="00582D87">
        <w:rPr>
          <w:rFonts w:cs="Times New Roman"/>
        </w:rPr>
        <w:fldChar w:fldCharType="begin"/>
      </w:r>
      <w:r>
        <w:rPr>
          <w:rFonts w:cs="Times New Roman"/>
        </w:rPr>
        <w:instrText xml:space="preserve"> ADDIN ZOTERO_ITEM CSL_CITATION {"citationID":"gYDl3mRx","properties":{"formattedCitation":"(Tax Justice Network, 2019i)","plainCitation":"(Tax Justice Network, 2019i)","dontUpdate":true,"noteIndex":12},"citationItems":[{"id":4303,"uris":["http://zotero.org/groups/997303/items/QETZKX2L"],"uri":["http://zotero.org/groups/997303/items/QETZKX2L"],"itemData":{"id":4303,"type":"report","collection-title":"Corporate Tax Haven Index","publisher":"Tax Justice Network","title":"Tanzania Database Report","URL":"https://www.corporatetaxhavenindex.org/database/Tanzania.xml","author":[{"family":"Tax Justice Network","given":""}],"accessed":{"date-parts":[["2019",6,7]]},"issued":{"date-parts":[["2019"]]}}}],"schema":"https://github.com/citation-style-language/schema/raw/master/csl-citation.json"} </w:instrText>
      </w:r>
      <w:r w:rsidRPr="00582D87">
        <w:rPr>
          <w:rFonts w:cs="Times New Roman"/>
        </w:rPr>
        <w:fldChar w:fldCharType="separate"/>
      </w:r>
      <w:r w:rsidRPr="00582D87">
        <w:rPr>
          <w:rFonts w:cs="Times New Roman"/>
        </w:rPr>
        <w:t>Tax Justice Network, 2019i</w:t>
      </w:r>
      <w:r w:rsidRPr="00582D87">
        <w:rPr>
          <w:rFonts w:cs="Times New Roman"/>
        </w:rPr>
        <w:fldChar w:fldCharType="end"/>
      </w:r>
      <w:r w:rsidRPr="00582D87">
        <w:rPr>
          <w:rFonts w:cs="Times New Roman"/>
        </w:rPr>
        <w:t>.</w:t>
      </w:r>
    </w:p>
  </w:footnote>
  <w:footnote w:id="14">
    <w:p w14:paraId="0FE0EF72" w14:textId="3E8272AF"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This section draws from </w:t>
      </w:r>
      <w:r w:rsidRPr="00582D87">
        <w:rPr>
          <w:rFonts w:cs="Times New Roman"/>
        </w:rPr>
        <w:fldChar w:fldCharType="begin"/>
      </w:r>
      <w:r>
        <w:rPr>
          <w:rFonts w:cs="Times New Roman"/>
        </w:rPr>
        <w:instrText xml:space="preserve"> ADDIN ZOTERO_ITEM CSL_CITATION {"citationID":"Yih4Tnzh","properties":{"formattedCitation":"(Tax Justice Network, 2019e)","plainCitation":"(Tax Justice Network, 2019e)","dontUpdate":true,"noteIndex":13},"citationItems":[{"id":4281,"uris":["http://zotero.org/groups/997303/items/DT5FL6GF"],"uri":["http://zotero.org/groups/997303/items/DT5FL6GF"],"itemData":{"id":4281,"type":"report","collection-title":"Key Corporate Tax Haven Indicators","publisher":"Tax Justice Network","title":"Haven Indicator 7: Patent Boxes","URL":"https://www.corporatetaxhavenindex.org/PDF/7-Patent-Boxes.pdf","author":[{"family":"Tax Justice Network","given":""}],"accessed":{"date-parts":[["2019",6,6]]},"issued":{"date-parts":[["2019"]]}}}],"schema":"https://github.com/citation-style-language/schema/raw/master/csl-citation.json"} </w:instrText>
      </w:r>
      <w:r w:rsidRPr="00582D87">
        <w:rPr>
          <w:rFonts w:cs="Times New Roman"/>
        </w:rPr>
        <w:fldChar w:fldCharType="separate"/>
      </w:r>
      <w:r w:rsidRPr="00582D87">
        <w:rPr>
          <w:rFonts w:cs="Times New Roman"/>
        </w:rPr>
        <w:t>Tax Justice Network, 2019e</w:t>
      </w:r>
      <w:r w:rsidRPr="00582D87">
        <w:rPr>
          <w:rFonts w:cs="Times New Roman"/>
        </w:rPr>
        <w:fldChar w:fldCharType="end"/>
      </w:r>
      <w:r>
        <w:rPr>
          <w:rFonts w:cs="Times New Roman"/>
        </w:rPr>
        <w:t>.</w:t>
      </w:r>
    </w:p>
  </w:footnote>
  <w:footnote w:id="15">
    <w:p w14:paraId="7B59D415" w14:textId="6FBA4ED0" w:rsidR="00B90A24" w:rsidRPr="00582D87" w:rsidRDefault="00B90A24" w:rsidP="00B90A24">
      <w:pPr>
        <w:pStyle w:val="FootnoteText"/>
        <w:ind w:left="567" w:right="1031"/>
        <w:jc w:val="both"/>
        <w:rPr>
          <w:rFonts w:cs="Times New Roman"/>
          <w:lang w:val="tr-TR"/>
        </w:rPr>
      </w:pPr>
      <w:r w:rsidRPr="00107758">
        <w:rPr>
          <w:rStyle w:val="FootnoteReference"/>
        </w:rPr>
        <w:footnoteRef/>
      </w:r>
      <w:r w:rsidRPr="00582D87">
        <w:rPr>
          <w:rFonts w:cs="Times New Roman"/>
        </w:rPr>
        <w:t xml:space="preserve"> As we noted above, </w:t>
      </w:r>
      <w:r w:rsidRPr="00582D87">
        <w:rPr>
          <w:rFonts w:cs="Times New Roman"/>
          <w:lang w:val="tr-TR"/>
        </w:rPr>
        <w:t xml:space="preserve">applying limitations on </w:t>
      </w:r>
      <w:r w:rsidRPr="00582D87">
        <w:rPr>
          <w:rFonts w:cs="Times New Roman"/>
        </w:rPr>
        <w:t xml:space="preserve">interest payments of standalone entities rather than at a group ratio level also carry base erosion and profit shifting risks, see </w:t>
      </w:r>
      <w:r>
        <w:rPr>
          <w:rFonts w:cs="Times New Roman"/>
        </w:rPr>
        <w:fldChar w:fldCharType="begin"/>
      </w:r>
      <w:r>
        <w:rPr>
          <w:rFonts w:cs="Times New Roman"/>
        </w:rPr>
        <w:instrText xml:space="preserve"> ADDIN ZOTERO_ITEM CSL_CITATION {"citationID":"OLikSzGY","properties":{"formattedCitation":"(OECD, 2015c, p. 19)","plainCitation":"(OECD, 2015c, p. 19)","dontUpdate":true,"noteIndex":14},"citationItems":[{"id":4084,"uris":["http://zotero.org/groups/997303/items/IPPHQKRH"],"uri":["http://zotero.org/groups/997303/items/IPPHQKRH"],"itemData":{"id":4084,"type":"report","abstract":"The mobility and fungibility of money makes it possible for multinational groups to achieve favourable tax results by adjusting the amount of debt in a group entity. The recommended approach ensures that an entity’s net interest deductions are directly linked to its level of economic activity, based on taxable earnings before deducting net interest expense, depreciation and amortisation (EBITDA). This approach includes three parts: a fixed ratio rule based on a benchmark net interest/EBITDA ratio; a group ratio rule which allows an entity to deduct more interest expense in certain circumstances based on the position of its worldwide group; and targeted rules to address specific risks. A country may choose not to introduce the group ratio rule, but in this case it should apply the fixed ratio rule to multinational and domestic groups without improper discrimination.","event-place":"Paris","publisher":"OECD","publisher-place":"Paris","title":"Limiting Base Erosion Involving Interest Deductions and Other Financial Payments, Action 4 - 2015 Final Report","URL":"https://www.oecd-ilibrary.org/docserver/9789264241176-en.pdf?expires=1557996390&amp;id=id&amp;accname=guest&amp;checksum=4C61C67D7652BE5C0ABF0421567F6774","author":[{"family":"OECD","given":""}],"accessed":{"date-parts":[["2019",5,16]]},"issued":{"date-parts":[["2015"]]}},"locator":"19"}],"schema":"https://github.com/citation-style-language/schema/raw/master/csl-citation.json"} </w:instrText>
      </w:r>
      <w:r>
        <w:rPr>
          <w:rFonts w:cs="Times New Roman"/>
        </w:rPr>
        <w:fldChar w:fldCharType="separate"/>
      </w:r>
      <w:r w:rsidRPr="00582D87">
        <w:rPr>
          <w:rFonts w:cs="Times New Roman"/>
        </w:rPr>
        <w:t>OECD, 2015c, p. 19</w:t>
      </w:r>
      <w:r>
        <w:rPr>
          <w:rFonts w:cs="Times New Roman"/>
        </w:rPr>
        <w:t>.</w:t>
      </w:r>
      <w:r>
        <w:rPr>
          <w:rFonts w:cs="Times New Roman"/>
        </w:rPr>
        <w:fldChar w:fldCharType="end"/>
      </w:r>
    </w:p>
  </w:footnote>
  <w:footnote w:id="16">
    <w:p w14:paraId="567BF2F9" w14:textId="40F5296F"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This section draws from </w:t>
      </w:r>
      <w:r w:rsidRPr="00582D87">
        <w:rPr>
          <w:rFonts w:cs="Times New Roman"/>
        </w:rPr>
        <w:fldChar w:fldCharType="begin"/>
      </w:r>
      <w:r>
        <w:rPr>
          <w:rFonts w:cs="Times New Roman"/>
        </w:rPr>
        <w:instrText xml:space="preserve"> ADDIN ZOTERO_ITEM CSL_CITATION {"citationID":"rcCq9Llo","properties":{"formattedCitation":"(Tax Justice Network, 2019f, p. 16)","plainCitation":"(Tax Justice Network, 2019f, p. 16)","dontUpdate":true,"noteIndex":15},"citationItems":[{"id":4282,"uris":["http://zotero.org/groups/997303/items/BWAHT8YG"],"uri":["http://zotero.org/groups/997303/items/BWAHT8YG"],"itemData":{"id":4282,"type":"report","collection-title":"Key Corporate Tax Haven Indicators","publisher":"Tax Justice Network","title":"Haven Indicator 16: Deduction Limitation for Royalties","URL":"https://www.corporatetaxhavenindex.org/PDF/16-Deduction-Limitation-Royalties.pdf","author":[{"family":"Tax Justice Network","given":""}],"accessed":{"date-parts":[["2019",6,6]]},"issued":{"date-parts":[["2019"]]}},"locator":"16"}],"schema":"https://github.com/citation-style-language/schema/raw/master/csl-citation.json"} </w:instrText>
      </w:r>
      <w:r w:rsidRPr="00582D87">
        <w:rPr>
          <w:rFonts w:cs="Times New Roman"/>
        </w:rPr>
        <w:fldChar w:fldCharType="separate"/>
      </w:r>
      <w:r w:rsidRPr="00582D87">
        <w:rPr>
          <w:rFonts w:cs="Times New Roman"/>
        </w:rPr>
        <w:t>Tax Justice Network, 2019f, p. 16</w:t>
      </w:r>
      <w:r w:rsidRPr="00582D87">
        <w:rPr>
          <w:rFonts w:cs="Times New Roman"/>
        </w:rPr>
        <w:fldChar w:fldCharType="end"/>
      </w:r>
      <w:r w:rsidRPr="00582D87">
        <w:rPr>
          <w:rFonts w:cs="Times New Roman"/>
        </w:rPr>
        <w:t>.</w:t>
      </w:r>
    </w:p>
  </w:footnote>
  <w:footnote w:id="17">
    <w:p w14:paraId="6372B304" w14:textId="77777777"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Note that the </w:t>
      </w:r>
      <w:r w:rsidRPr="00582D87">
        <w:rPr>
          <w:rFonts w:eastAsia="Verdana" w:cs="Times New Roman"/>
          <w:lang w:val="en-US" w:eastAsia="en-GB"/>
        </w:rPr>
        <w:t xml:space="preserve">minimum tax </w:t>
      </w:r>
      <w:r w:rsidRPr="00582D87">
        <w:rPr>
          <w:rFonts w:cs="Times New Roman"/>
        </w:rPr>
        <w:t>will be increased to 12.5 per cent as of 2026 and was temporarily set to 5 per cent for 2018.</w:t>
      </w:r>
    </w:p>
  </w:footnote>
  <w:footnote w:id="18">
    <w:p w14:paraId="2D7C7794" w14:textId="6572B8B1"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This section draws from </w:t>
      </w:r>
      <w:r w:rsidRPr="00582D87">
        <w:rPr>
          <w:rFonts w:cs="Times New Roman"/>
        </w:rPr>
        <w:fldChar w:fldCharType="begin"/>
      </w:r>
      <w:r>
        <w:rPr>
          <w:rFonts w:cs="Times New Roman"/>
        </w:rPr>
        <w:instrText xml:space="preserve"> ADDIN ZOTERO_ITEM CSL_CITATION {"citationID":"EVQ74FkJ","properties":{"formattedCitation":"(Tax Justice Network, 2019g)","plainCitation":"(Tax Justice Network, 2019g)","dontUpdate":true,"noteIndex":17},"citationItems":[{"id":4283,"uris":["http://zotero.org/groups/997303/items/DZDEAT99"],"uri":["http://zotero.org/groups/997303/items/DZDEAT99"],"itemData":{"id":4283,"type":"report","genre":"Key Corporate Tax Haven Indicators","publisher":"Tax Justice Network","title":"Haven Indicator 20: Double Tax Treaty Aggressiveness","URL":"https://www.corporatetaxhavenindex.org/PDF/20-Double-Tax-Treaties.pdf","author":[{"family":"Tax Justice Network","given":""}],"accessed":{"date-parts":[["2019",6,6]]},"issued":{"date-parts":[["2019"]]}}}],"schema":"https://github.com/citation-style-language/schema/raw/master/csl-citation.json"} </w:instrText>
      </w:r>
      <w:r w:rsidRPr="00582D87">
        <w:rPr>
          <w:rFonts w:cs="Times New Roman"/>
        </w:rPr>
        <w:fldChar w:fldCharType="separate"/>
      </w:r>
      <w:r w:rsidRPr="00582D87">
        <w:rPr>
          <w:rFonts w:cs="Times New Roman"/>
        </w:rPr>
        <w:t>Tax Justice Network, 2019g</w:t>
      </w:r>
      <w:r w:rsidRPr="00582D87">
        <w:rPr>
          <w:rFonts w:cs="Times New Roman"/>
        </w:rPr>
        <w:fldChar w:fldCharType="end"/>
      </w:r>
      <w:r w:rsidRPr="00582D87">
        <w:rPr>
          <w:rFonts w:cs="Times New Roman"/>
        </w:rPr>
        <w:t>.</w:t>
      </w:r>
    </w:p>
  </w:footnote>
  <w:footnote w:id="19">
    <w:p w14:paraId="0962D530" w14:textId="5F4EDA79" w:rsidR="00B90A24" w:rsidRPr="00582D87" w:rsidRDefault="00B90A24" w:rsidP="00B90A24">
      <w:pPr>
        <w:pStyle w:val="FootnoteText"/>
        <w:ind w:left="567" w:right="1031"/>
        <w:jc w:val="both"/>
        <w:rPr>
          <w:rFonts w:cs="Times New Roman"/>
        </w:rPr>
      </w:pPr>
      <w:r w:rsidRPr="00107758">
        <w:rPr>
          <w:rStyle w:val="FootnoteReference"/>
        </w:rPr>
        <w:footnoteRef/>
      </w:r>
      <w:r w:rsidRPr="00582D87">
        <w:rPr>
          <w:rFonts w:cs="Times New Roman"/>
        </w:rPr>
        <w:t xml:space="preserve"> For a more in-depth discussion on double tax treaty aggressiveness in and affecting Africa in the Corporate Tax Haven Index, see</w:t>
      </w:r>
      <w:r>
        <w:rPr>
          <w:rFonts w:cs="Times New Roman"/>
        </w:rPr>
        <w:t>,</w:t>
      </w:r>
      <w:r w:rsidRPr="00582D87">
        <w:rPr>
          <w:rFonts w:cs="Times New Roman"/>
        </w:rPr>
        <w:t xml:space="preserve"> </w:t>
      </w:r>
      <w:r w:rsidRPr="00582D87">
        <w:rPr>
          <w:rFonts w:cs="Times New Roman"/>
        </w:rPr>
        <w:fldChar w:fldCharType="begin"/>
      </w:r>
      <w:r>
        <w:rPr>
          <w:rFonts w:cs="Times New Roman"/>
        </w:rPr>
        <w:instrText xml:space="preserve"> ADDIN ZOTERO_ITEM CSL_CITATION {"citationID":"udWaOMY1","properties":{"formattedCitation":"(Millan-Narotzky et al., Forthcoming)","plainCitation":"(Millan-Narotzky et al., Forthcoming)","dontUpdate":true,"noteIndex":18},"citationItems":[{"id":4302,"uris":["http://zotero.org/groups/997303/items/FVUEC422"],"uri":["http://zotero.org/groups/997303/items/FVUEC422"],"itemData":{"id":4302,"type":"report","publisher":"Tax Justice Network / ICTD","title":"Double Tax Treaty Aggressiveness: Who is bringing down taxing rights in Africa?","author":[{"family":"Millán-Narotzky","given":"Lucas"},{"family":"Garcia-Bernardo","given":"Javier"},{"family":"Diakité","given":"Maïmouna"},{"family":"Meinzer","given":"Markus"}],"issued":{"literal":"Forthcoming"}}}],"schema":"https://github.com/citation-style-language/schema/raw/master/csl-citation.json"} </w:instrText>
      </w:r>
      <w:r w:rsidRPr="00582D87">
        <w:rPr>
          <w:rFonts w:cs="Times New Roman"/>
        </w:rPr>
        <w:fldChar w:fldCharType="separate"/>
      </w:r>
      <w:r w:rsidRPr="00582D87">
        <w:rPr>
          <w:rFonts w:cs="Times New Roman"/>
        </w:rPr>
        <w:t>Millan-Narotzky et al., Forthcoming</w:t>
      </w:r>
      <w:r w:rsidRPr="00582D87">
        <w:rPr>
          <w:rFonts w:cs="Times New Roman"/>
        </w:rPr>
        <w:fldChar w:fldCharType="end"/>
      </w:r>
      <w:r>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282D" w14:textId="32C56FF9" w:rsidR="00C5141D" w:rsidRPr="00C5141D" w:rsidRDefault="00B90A24" w:rsidP="00C5141D">
    <w:pPr>
      <w:pStyle w:val="Heading1"/>
      <w:numPr>
        <w:ilvl w:val="0"/>
        <w:numId w:val="0"/>
      </w:numPr>
      <w:spacing w:line="240" w:lineRule="auto"/>
      <w:ind w:left="709" w:right="1031" w:hanging="360"/>
      <w:jc w:val="center"/>
      <w:rPr>
        <w:b w:val="0"/>
        <w:i/>
        <w:color w:val="000000" w:themeColor="text1"/>
        <w:sz w:val="20"/>
        <w:szCs w:val="20"/>
      </w:rPr>
    </w:pPr>
    <w:r w:rsidRPr="00765CB5">
      <w:rPr>
        <w:b w:val="0"/>
        <w:i/>
        <w:color w:val="000000" w:themeColor="text1"/>
        <w:sz w:val="20"/>
        <w:szCs w:val="20"/>
      </w:rPr>
      <w:t>Etter-Phoya, R. et al. Tax Base Erosion and Corporate Profit Shifting: Africa in International Comparative Perspective</w:t>
    </w:r>
  </w:p>
  <w:p w14:paraId="1E51EFD0" w14:textId="77777777" w:rsidR="00B90A24" w:rsidRDefault="00B90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FF40B" w14:textId="77777777" w:rsidR="00C5141D" w:rsidRDefault="00C5141D" w:rsidP="00C93644">
    <w:pPr>
      <w:spacing w:before="71"/>
      <w:ind w:left="-142"/>
      <w:jc w:val="center"/>
      <w:rPr>
        <w:i/>
        <w:color w:val="231F20"/>
        <w:sz w:val="20"/>
      </w:rPr>
    </w:pPr>
  </w:p>
  <w:p w14:paraId="580C76C2" w14:textId="74B3F9B8" w:rsidR="00B90A24" w:rsidRDefault="00B90A24" w:rsidP="00C93644">
    <w:pPr>
      <w:spacing w:before="71"/>
      <w:ind w:left="-142"/>
      <w:jc w:val="center"/>
      <w:rPr>
        <w:i/>
        <w:sz w:val="20"/>
      </w:rPr>
    </w:pPr>
    <w:r>
      <w:rPr>
        <w:noProof/>
      </w:rPr>
      <mc:AlternateContent>
        <mc:Choice Requires="wps">
          <w:drawing>
            <wp:anchor distT="0" distB="0" distL="0" distR="0" simplePos="0" relativeHeight="251659264" behindDoc="0" locked="0" layoutInCell="1" allowOverlap="1" wp14:anchorId="7134C31F" wp14:editId="102E6384">
              <wp:simplePos x="0" y="0"/>
              <wp:positionH relativeFrom="page">
                <wp:posOffset>538480</wp:posOffset>
              </wp:positionH>
              <wp:positionV relativeFrom="paragraph">
                <wp:posOffset>269875</wp:posOffset>
              </wp:positionV>
              <wp:extent cx="6299835" cy="0"/>
              <wp:effectExtent l="0" t="12700" r="24765" b="12700"/>
              <wp:wrapTopAndBottom/>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9835" cy="0"/>
                      </a:xfrm>
                      <a:prstGeom prst="line">
                        <a:avLst/>
                      </a:prstGeom>
                      <a:noFill/>
                      <a:ln w="41555">
                        <a:solidFill>
                          <a:srgbClr val="A7A9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2DB38" id="Line 2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21.25pt" to="538.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" strokecolor="#a7a9ac" strokeweight="1.1543mm">
              <o:lock v:ext="edit" shapetype="f"/>
              <w10:wrap type="topAndBottom" anchorx="page"/>
            </v:line>
          </w:pict>
        </mc:Fallback>
      </mc:AlternateContent>
    </w:r>
    <w:r>
      <w:rPr>
        <w:i/>
        <w:color w:val="231F20"/>
        <w:sz w:val="20"/>
      </w:rPr>
      <w:t>Financ.dev Vol 1(2), 2020</w:t>
    </w:r>
  </w:p>
  <w:p w14:paraId="2B6F0990" w14:textId="77777777" w:rsidR="00B90A24" w:rsidRDefault="00B90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BDF"/>
    <w:multiLevelType w:val="hybridMultilevel"/>
    <w:tmpl w:val="3AB6D5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F5EF4"/>
    <w:multiLevelType w:val="hybridMultilevel"/>
    <w:tmpl w:val="6A5CC5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9731A2"/>
    <w:multiLevelType w:val="multilevel"/>
    <w:tmpl w:val="986E1B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2B5685D"/>
    <w:multiLevelType w:val="multilevel"/>
    <w:tmpl w:val="32D6A5D8"/>
    <w:lvl w:ilvl="0">
      <w:start w:val="3"/>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2C3A16"/>
    <w:multiLevelType w:val="hybridMultilevel"/>
    <w:tmpl w:val="514E6F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B3680F"/>
    <w:multiLevelType w:val="hybridMultilevel"/>
    <w:tmpl w:val="205017BC"/>
    <w:lvl w:ilvl="0" w:tplc="8C620BC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34091"/>
    <w:multiLevelType w:val="hybridMultilevel"/>
    <w:tmpl w:val="6E540376"/>
    <w:lvl w:ilvl="0" w:tplc="2CA0498A">
      <w:start w:val="1"/>
      <w:numFmt w:val="bullet"/>
      <w:lvlText w:val="-"/>
      <w:lvlJc w:val="left"/>
      <w:pPr>
        <w:tabs>
          <w:tab w:val="num" w:pos="720"/>
        </w:tabs>
        <w:ind w:left="720" w:hanging="360"/>
      </w:pPr>
      <w:rPr>
        <w:rFonts w:ascii="Times New Roman" w:hAnsi="Times New Roman" w:hint="default"/>
      </w:rPr>
    </w:lvl>
    <w:lvl w:ilvl="1" w:tplc="C5A4AC58" w:tentative="1">
      <w:start w:val="1"/>
      <w:numFmt w:val="bullet"/>
      <w:lvlText w:val="-"/>
      <w:lvlJc w:val="left"/>
      <w:pPr>
        <w:tabs>
          <w:tab w:val="num" w:pos="1440"/>
        </w:tabs>
        <w:ind w:left="1440" w:hanging="360"/>
      </w:pPr>
      <w:rPr>
        <w:rFonts w:ascii="Times New Roman" w:hAnsi="Times New Roman" w:hint="default"/>
      </w:rPr>
    </w:lvl>
    <w:lvl w:ilvl="2" w:tplc="219A756E" w:tentative="1">
      <w:start w:val="1"/>
      <w:numFmt w:val="bullet"/>
      <w:lvlText w:val="-"/>
      <w:lvlJc w:val="left"/>
      <w:pPr>
        <w:tabs>
          <w:tab w:val="num" w:pos="2160"/>
        </w:tabs>
        <w:ind w:left="2160" w:hanging="360"/>
      </w:pPr>
      <w:rPr>
        <w:rFonts w:ascii="Times New Roman" w:hAnsi="Times New Roman" w:hint="default"/>
      </w:rPr>
    </w:lvl>
    <w:lvl w:ilvl="3" w:tplc="64F6C7D4" w:tentative="1">
      <w:start w:val="1"/>
      <w:numFmt w:val="bullet"/>
      <w:lvlText w:val="-"/>
      <w:lvlJc w:val="left"/>
      <w:pPr>
        <w:tabs>
          <w:tab w:val="num" w:pos="2880"/>
        </w:tabs>
        <w:ind w:left="2880" w:hanging="360"/>
      </w:pPr>
      <w:rPr>
        <w:rFonts w:ascii="Times New Roman" w:hAnsi="Times New Roman" w:hint="default"/>
      </w:rPr>
    </w:lvl>
    <w:lvl w:ilvl="4" w:tplc="9D6CB8F2" w:tentative="1">
      <w:start w:val="1"/>
      <w:numFmt w:val="bullet"/>
      <w:lvlText w:val="-"/>
      <w:lvlJc w:val="left"/>
      <w:pPr>
        <w:tabs>
          <w:tab w:val="num" w:pos="3600"/>
        </w:tabs>
        <w:ind w:left="3600" w:hanging="360"/>
      </w:pPr>
      <w:rPr>
        <w:rFonts w:ascii="Times New Roman" w:hAnsi="Times New Roman" w:hint="default"/>
      </w:rPr>
    </w:lvl>
    <w:lvl w:ilvl="5" w:tplc="B6A461F4" w:tentative="1">
      <w:start w:val="1"/>
      <w:numFmt w:val="bullet"/>
      <w:lvlText w:val="-"/>
      <w:lvlJc w:val="left"/>
      <w:pPr>
        <w:tabs>
          <w:tab w:val="num" w:pos="4320"/>
        </w:tabs>
        <w:ind w:left="4320" w:hanging="360"/>
      </w:pPr>
      <w:rPr>
        <w:rFonts w:ascii="Times New Roman" w:hAnsi="Times New Roman" w:hint="default"/>
      </w:rPr>
    </w:lvl>
    <w:lvl w:ilvl="6" w:tplc="5D4E12D0" w:tentative="1">
      <w:start w:val="1"/>
      <w:numFmt w:val="bullet"/>
      <w:lvlText w:val="-"/>
      <w:lvlJc w:val="left"/>
      <w:pPr>
        <w:tabs>
          <w:tab w:val="num" w:pos="5040"/>
        </w:tabs>
        <w:ind w:left="5040" w:hanging="360"/>
      </w:pPr>
      <w:rPr>
        <w:rFonts w:ascii="Times New Roman" w:hAnsi="Times New Roman" w:hint="default"/>
      </w:rPr>
    </w:lvl>
    <w:lvl w:ilvl="7" w:tplc="0D942B68" w:tentative="1">
      <w:start w:val="1"/>
      <w:numFmt w:val="bullet"/>
      <w:lvlText w:val="-"/>
      <w:lvlJc w:val="left"/>
      <w:pPr>
        <w:tabs>
          <w:tab w:val="num" w:pos="5760"/>
        </w:tabs>
        <w:ind w:left="5760" w:hanging="360"/>
      </w:pPr>
      <w:rPr>
        <w:rFonts w:ascii="Times New Roman" w:hAnsi="Times New Roman" w:hint="default"/>
      </w:rPr>
    </w:lvl>
    <w:lvl w:ilvl="8" w:tplc="86E441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965360"/>
    <w:multiLevelType w:val="hybridMultilevel"/>
    <w:tmpl w:val="2BC6D25A"/>
    <w:lvl w:ilvl="0" w:tplc="DDA23888">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240F02"/>
    <w:multiLevelType w:val="hybridMultilevel"/>
    <w:tmpl w:val="B51A21B8"/>
    <w:lvl w:ilvl="0" w:tplc="B18A893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5C2C4A"/>
    <w:multiLevelType w:val="multilevel"/>
    <w:tmpl w:val="E42E5E9A"/>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0" w15:restartNumberingAfterBreak="0">
    <w:nsid w:val="3ACC73A2"/>
    <w:multiLevelType w:val="hybridMultilevel"/>
    <w:tmpl w:val="81225536"/>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073709"/>
    <w:multiLevelType w:val="hybridMultilevel"/>
    <w:tmpl w:val="2BA84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C0D5F"/>
    <w:multiLevelType w:val="hybridMultilevel"/>
    <w:tmpl w:val="9F981E48"/>
    <w:lvl w:ilvl="0" w:tplc="615C966E">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2327BB"/>
    <w:multiLevelType w:val="multilevel"/>
    <w:tmpl w:val="C7208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5E63CA"/>
    <w:multiLevelType w:val="hybridMultilevel"/>
    <w:tmpl w:val="912CB664"/>
    <w:lvl w:ilvl="0" w:tplc="6C706B0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7A7AC7"/>
    <w:multiLevelType w:val="hybridMultilevel"/>
    <w:tmpl w:val="E84439D8"/>
    <w:lvl w:ilvl="0" w:tplc="7A42A404">
      <w:start w:val="1"/>
      <w:numFmt w:val="bullet"/>
      <w:lvlText w:val="-"/>
      <w:lvlJc w:val="left"/>
      <w:pPr>
        <w:tabs>
          <w:tab w:val="num" w:pos="720"/>
        </w:tabs>
        <w:ind w:left="720" w:hanging="360"/>
      </w:pPr>
      <w:rPr>
        <w:rFonts w:ascii="Times New Roman" w:hAnsi="Times New Roman" w:hint="default"/>
      </w:rPr>
    </w:lvl>
    <w:lvl w:ilvl="1" w:tplc="BFBC2830" w:tentative="1">
      <w:start w:val="1"/>
      <w:numFmt w:val="bullet"/>
      <w:lvlText w:val="-"/>
      <w:lvlJc w:val="left"/>
      <w:pPr>
        <w:tabs>
          <w:tab w:val="num" w:pos="1440"/>
        </w:tabs>
        <w:ind w:left="1440" w:hanging="360"/>
      </w:pPr>
      <w:rPr>
        <w:rFonts w:ascii="Times New Roman" w:hAnsi="Times New Roman" w:hint="default"/>
      </w:rPr>
    </w:lvl>
    <w:lvl w:ilvl="2" w:tplc="0C10157C" w:tentative="1">
      <w:start w:val="1"/>
      <w:numFmt w:val="bullet"/>
      <w:lvlText w:val="-"/>
      <w:lvlJc w:val="left"/>
      <w:pPr>
        <w:tabs>
          <w:tab w:val="num" w:pos="2160"/>
        </w:tabs>
        <w:ind w:left="2160" w:hanging="360"/>
      </w:pPr>
      <w:rPr>
        <w:rFonts w:ascii="Times New Roman" w:hAnsi="Times New Roman" w:hint="default"/>
      </w:rPr>
    </w:lvl>
    <w:lvl w:ilvl="3" w:tplc="72F4790A" w:tentative="1">
      <w:start w:val="1"/>
      <w:numFmt w:val="bullet"/>
      <w:lvlText w:val="-"/>
      <w:lvlJc w:val="left"/>
      <w:pPr>
        <w:tabs>
          <w:tab w:val="num" w:pos="2880"/>
        </w:tabs>
        <w:ind w:left="2880" w:hanging="360"/>
      </w:pPr>
      <w:rPr>
        <w:rFonts w:ascii="Times New Roman" w:hAnsi="Times New Roman" w:hint="default"/>
      </w:rPr>
    </w:lvl>
    <w:lvl w:ilvl="4" w:tplc="028ABD10" w:tentative="1">
      <w:start w:val="1"/>
      <w:numFmt w:val="bullet"/>
      <w:lvlText w:val="-"/>
      <w:lvlJc w:val="left"/>
      <w:pPr>
        <w:tabs>
          <w:tab w:val="num" w:pos="3600"/>
        </w:tabs>
        <w:ind w:left="3600" w:hanging="360"/>
      </w:pPr>
      <w:rPr>
        <w:rFonts w:ascii="Times New Roman" w:hAnsi="Times New Roman" w:hint="default"/>
      </w:rPr>
    </w:lvl>
    <w:lvl w:ilvl="5" w:tplc="C7EEB2CE" w:tentative="1">
      <w:start w:val="1"/>
      <w:numFmt w:val="bullet"/>
      <w:lvlText w:val="-"/>
      <w:lvlJc w:val="left"/>
      <w:pPr>
        <w:tabs>
          <w:tab w:val="num" w:pos="4320"/>
        </w:tabs>
        <w:ind w:left="4320" w:hanging="360"/>
      </w:pPr>
      <w:rPr>
        <w:rFonts w:ascii="Times New Roman" w:hAnsi="Times New Roman" w:hint="default"/>
      </w:rPr>
    </w:lvl>
    <w:lvl w:ilvl="6" w:tplc="3F5870E8" w:tentative="1">
      <w:start w:val="1"/>
      <w:numFmt w:val="bullet"/>
      <w:lvlText w:val="-"/>
      <w:lvlJc w:val="left"/>
      <w:pPr>
        <w:tabs>
          <w:tab w:val="num" w:pos="5040"/>
        </w:tabs>
        <w:ind w:left="5040" w:hanging="360"/>
      </w:pPr>
      <w:rPr>
        <w:rFonts w:ascii="Times New Roman" w:hAnsi="Times New Roman" w:hint="default"/>
      </w:rPr>
    </w:lvl>
    <w:lvl w:ilvl="7" w:tplc="14740C50" w:tentative="1">
      <w:start w:val="1"/>
      <w:numFmt w:val="bullet"/>
      <w:lvlText w:val="-"/>
      <w:lvlJc w:val="left"/>
      <w:pPr>
        <w:tabs>
          <w:tab w:val="num" w:pos="5760"/>
        </w:tabs>
        <w:ind w:left="5760" w:hanging="360"/>
      </w:pPr>
      <w:rPr>
        <w:rFonts w:ascii="Times New Roman" w:hAnsi="Times New Roman" w:hint="default"/>
      </w:rPr>
    </w:lvl>
    <w:lvl w:ilvl="8" w:tplc="BABC6DE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6CA002D"/>
    <w:multiLevelType w:val="hybridMultilevel"/>
    <w:tmpl w:val="1E6A207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DC09CD"/>
    <w:multiLevelType w:val="hybridMultilevel"/>
    <w:tmpl w:val="41F6F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566E1"/>
    <w:multiLevelType w:val="hybridMultilevel"/>
    <w:tmpl w:val="28302BA0"/>
    <w:lvl w:ilvl="0" w:tplc="E26259A6">
      <w:start w:val="1"/>
      <w:numFmt w:val="bullet"/>
      <w:lvlText w:val=""/>
      <w:lvlJc w:val="left"/>
      <w:pPr>
        <w:ind w:left="720" w:hanging="360"/>
      </w:pPr>
      <w:rPr>
        <w:rFonts w:ascii="Times New Roman" w:hAnsi="Times New Roman" w:cs="Times New Roman"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4464E"/>
    <w:multiLevelType w:val="hybridMultilevel"/>
    <w:tmpl w:val="A3349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47183A"/>
    <w:multiLevelType w:val="multilevel"/>
    <w:tmpl w:val="380ED31E"/>
    <w:lvl w:ilvl="0">
      <w:start w:val="3"/>
      <w:numFmt w:val="decimal"/>
      <w:lvlText w:val="%1"/>
      <w:lvlJc w:val="left"/>
      <w:pPr>
        <w:ind w:left="470" w:hanging="4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8524F42"/>
    <w:multiLevelType w:val="hybridMultilevel"/>
    <w:tmpl w:val="A75CF780"/>
    <w:lvl w:ilvl="0" w:tplc="BBC639DC">
      <w:start w:val="1"/>
      <w:numFmt w:val="decimal"/>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2C3465"/>
    <w:multiLevelType w:val="hybridMultilevel"/>
    <w:tmpl w:val="3AB6D5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4551D2"/>
    <w:multiLevelType w:val="hybridMultilevel"/>
    <w:tmpl w:val="EC8657C6"/>
    <w:lvl w:ilvl="0" w:tplc="079A0616">
      <w:numFmt w:val="bullet"/>
      <w:lvlText w:val="-"/>
      <w:lvlJc w:val="left"/>
      <w:pPr>
        <w:ind w:left="1065" w:hanging="360"/>
      </w:pPr>
      <w:rPr>
        <w:rFonts w:ascii="Verdana" w:eastAsiaTheme="minorHAnsi" w:hAnsi="Verdana"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4" w15:restartNumberingAfterBreak="0">
    <w:nsid w:val="6FF14EAD"/>
    <w:multiLevelType w:val="hybridMultilevel"/>
    <w:tmpl w:val="48846990"/>
    <w:lvl w:ilvl="0" w:tplc="E9B8ECAC">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B750F"/>
    <w:multiLevelType w:val="hybridMultilevel"/>
    <w:tmpl w:val="D0CA7AE4"/>
    <w:lvl w:ilvl="0" w:tplc="B6C0982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203A97"/>
    <w:multiLevelType w:val="hybridMultilevel"/>
    <w:tmpl w:val="0A606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940729"/>
    <w:multiLevelType w:val="hybridMultilevel"/>
    <w:tmpl w:val="040476D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C2433F6"/>
    <w:multiLevelType w:val="hybridMultilevel"/>
    <w:tmpl w:val="4B904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2"/>
  </w:num>
  <w:num w:numId="4">
    <w:abstractNumId w:val="8"/>
  </w:num>
  <w:num w:numId="5">
    <w:abstractNumId w:val="1"/>
  </w:num>
  <w:num w:numId="6">
    <w:abstractNumId w:val="27"/>
  </w:num>
  <w:num w:numId="7">
    <w:abstractNumId w:val="16"/>
  </w:num>
  <w:num w:numId="8">
    <w:abstractNumId w:val="23"/>
  </w:num>
  <w:num w:numId="9">
    <w:abstractNumId w:val="4"/>
  </w:num>
  <w:num w:numId="10">
    <w:abstractNumId w:val="12"/>
  </w:num>
  <w:num w:numId="11">
    <w:abstractNumId w:val="6"/>
  </w:num>
  <w:num w:numId="12">
    <w:abstractNumId w:val="15"/>
  </w:num>
  <w:num w:numId="13">
    <w:abstractNumId w:val="9"/>
  </w:num>
  <w:num w:numId="14">
    <w:abstractNumId w:val="24"/>
  </w:num>
  <w:num w:numId="15">
    <w:abstractNumId w:val="14"/>
  </w:num>
  <w:num w:numId="16">
    <w:abstractNumId w:val="10"/>
  </w:num>
  <w:num w:numId="17">
    <w:abstractNumId w:val="13"/>
  </w:num>
  <w:num w:numId="18">
    <w:abstractNumId w:val="21"/>
  </w:num>
  <w:num w:numId="19">
    <w:abstractNumId w:val="21"/>
    <w:lvlOverride w:ilvl="0">
      <w:startOverride w:val="3"/>
    </w:lvlOverride>
  </w:num>
  <w:num w:numId="20">
    <w:abstractNumId w:val="2"/>
  </w:num>
  <w:num w:numId="21">
    <w:abstractNumId w:val="20"/>
  </w:num>
  <w:num w:numId="22">
    <w:abstractNumId w:val="3"/>
  </w:num>
  <w:num w:numId="23">
    <w:abstractNumId w:val="3"/>
  </w:num>
  <w:num w:numId="24">
    <w:abstractNumId w:val="3"/>
  </w:num>
  <w:num w:numId="25">
    <w:abstractNumId w:val="3"/>
  </w:num>
  <w:num w:numId="26">
    <w:abstractNumId w:val="5"/>
  </w:num>
  <w:num w:numId="27">
    <w:abstractNumId w:val="25"/>
  </w:num>
  <w:num w:numId="28">
    <w:abstractNumId w:val="28"/>
  </w:num>
  <w:num w:numId="29">
    <w:abstractNumId w:val="19"/>
  </w:num>
  <w:num w:numId="30">
    <w:abstractNumId w:val="26"/>
  </w:num>
  <w:num w:numId="31">
    <w:abstractNumId w:val="11"/>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C9"/>
    <w:rsid w:val="00003787"/>
    <w:rsid w:val="00003FB4"/>
    <w:rsid w:val="000044BC"/>
    <w:rsid w:val="000051DF"/>
    <w:rsid w:val="00006D5E"/>
    <w:rsid w:val="00007F89"/>
    <w:rsid w:val="00010B4B"/>
    <w:rsid w:val="0001246C"/>
    <w:rsid w:val="00017DC8"/>
    <w:rsid w:val="00021656"/>
    <w:rsid w:val="000230C6"/>
    <w:rsid w:val="000236FC"/>
    <w:rsid w:val="00023D35"/>
    <w:rsid w:val="00025836"/>
    <w:rsid w:val="000277E6"/>
    <w:rsid w:val="00032BEE"/>
    <w:rsid w:val="00033058"/>
    <w:rsid w:val="0003471B"/>
    <w:rsid w:val="00036925"/>
    <w:rsid w:val="00040FD0"/>
    <w:rsid w:val="00041D3A"/>
    <w:rsid w:val="0004291B"/>
    <w:rsid w:val="000448CA"/>
    <w:rsid w:val="00046325"/>
    <w:rsid w:val="000477C6"/>
    <w:rsid w:val="00047FBB"/>
    <w:rsid w:val="00051258"/>
    <w:rsid w:val="00051D44"/>
    <w:rsid w:val="000522FE"/>
    <w:rsid w:val="00052AE0"/>
    <w:rsid w:val="0005306F"/>
    <w:rsid w:val="0005465F"/>
    <w:rsid w:val="00054D68"/>
    <w:rsid w:val="00055093"/>
    <w:rsid w:val="00057A1A"/>
    <w:rsid w:val="00060467"/>
    <w:rsid w:val="00060B26"/>
    <w:rsid w:val="00062A2A"/>
    <w:rsid w:val="00062A5E"/>
    <w:rsid w:val="000637A3"/>
    <w:rsid w:val="000662C1"/>
    <w:rsid w:val="00066779"/>
    <w:rsid w:val="00070444"/>
    <w:rsid w:val="00075611"/>
    <w:rsid w:val="0007661D"/>
    <w:rsid w:val="00080E4C"/>
    <w:rsid w:val="00083C64"/>
    <w:rsid w:val="0008460C"/>
    <w:rsid w:val="000861A7"/>
    <w:rsid w:val="000868C6"/>
    <w:rsid w:val="0008725D"/>
    <w:rsid w:val="00092AD5"/>
    <w:rsid w:val="00094474"/>
    <w:rsid w:val="00095223"/>
    <w:rsid w:val="0009627B"/>
    <w:rsid w:val="000A244D"/>
    <w:rsid w:val="000A250A"/>
    <w:rsid w:val="000A387D"/>
    <w:rsid w:val="000A446A"/>
    <w:rsid w:val="000A7960"/>
    <w:rsid w:val="000B5001"/>
    <w:rsid w:val="000B6BE0"/>
    <w:rsid w:val="000C0066"/>
    <w:rsid w:val="000C021E"/>
    <w:rsid w:val="000C2A66"/>
    <w:rsid w:val="000C38E6"/>
    <w:rsid w:val="000C46C4"/>
    <w:rsid w:val="000C52C7"/>
    <w:rsid w:val="000C6FA2"/>
    <w:rsid w:val="000D15C3"/>
    <w:rsid w:val="000D303B"/>
    <w:rsid w:val="000D6090"/>
    <w:rsid w:val="000D6DE2"/>
    <w:rsid w:val="000D7CFB"/>
    <w:rsid w:val="000E2B69"/>
    <w:rsid w:val="000E4145"/>
    <w:rsid w:val="000E6B65"/>
    <w:rsid w:val="000F0DB6"/>
    <w:rsid w:val="000F22BB"/>
    <w:rsid w:val="000F33BE"/>
    <w:rsid w:val="00103F24"/>
    <w:rsid w:val="001048AD"/>
    <w:rsid w:val="001058F2"/>
    <w:rsid w:val="00106149"/>
    <w:rsid w:val="001066DF"/>
    <w:rsid w:val="00106E4E"/>
    <w:rsid w:val="00107758"/>
    <w:rsid w:val="00113454"/>
    <w:rsid w:val="001135FC"/>
    <w:rsid w:val="00115274"/>
    <w:rsid w:val="001162F5"/>
    <w:rsid w:val="0012127C"/>
    <w:rsid w:val="001237E1"/>
    <w:rsid w:val="00123B3B"/>
    <w:rsid w:val="001256A6"/>
    <w:rsid w:val="00130958"/>
    <w:rsid w:val="001310C5"/>
    <w:rsid w:val="00132676"/>
    <w:rsid w:val="00133533"/>
    <w:rsid w:val="0013559A"/>
    <w:rsid w:val="00137754"/>
    <w:rsid w:val="00137919"/>
    <w:rsid w:val="00140B9C"/>
    <w:rsid w:val="00140E80"/>
    <w:rsid w:val="00141EC4"/>
    <w:rsid w:val="00141F8E"/>
    <w:rsid w:val="001437DE"/>
    <w:rsid w:val="00143B1C"/>
    <w:rsid w:val="00144958"/>
    <w:rsid w:val="00145599"/>
    <w:rsid w:val="00146B7B"/>
    <w:rsid w:val="00150884"/>
    <w:rsid w:val="001535BA"/>
    <w:rsid w:val="0015475E"/>
    <w:rsid w:val="00154E41"/>
    <w:rsid w:val="0015591F"/>
    <w:rsid w:val="00155963"/>
    <w:rsid w:val="001563A6"/>
    <w:rsid w:val="001603BE"/>
    <w:rsid w:val="0016065E"/>
    <w:rsid w:val="0016367F"/>
    <w:rsid w:val="001652A8"/>
    <w:rsid w:val="00165551"/>
    <w:rsid w:val="00166767"/>
    <w:rsid w:val="0016707E"/>
    <w:rsid w:val="0017019C"/>
    <w:rsid w:val="00171685"/>
    <w:rsid w:val="0017361E"/>
    <w:rsid w:val="0017754C"/>
    <w:rsid w:val="00180CB8"/>
    <w:rsid w:val="001815BD"/>
    <w:rsid w:val="001823AE"/>
    <w:rsid w:val="001834D9"/>
    <w:rsid w:val="001865FC"/>
    <w:rsid w:val="00186C5C"/>
    <w:rsid w:val="00191139"/>
    <w:rsid w:val="0019517B"/>
    <w:rsid w:val="001A3ABD"/>
    <w:rsid w:val="001A5F94"/>
    <w:rsid w:val="001B4DB4"/>
    <w:rsid w:val="001B6060"/>
    <w:rsid w:val="001C01E1"/>
    <w:rsid w:val="001C140F"/>
    <w:rsid w:val="001C29EF"/>
    <w:rsid w:val="001C31A1"/>
    <w:rsid w:val="001D03C9"/>
    <w:rsid w:val="001D06E0"/>
    <w:rsid w:val="001D0A9D"/>
    <w:rsid w:val="001D1CB8"/>
    <w:rsid w:val="001D4417"/>
    <w:rsid w:val="001E0D00"/>
    <w:rsid w:val="001E331B"/>
    <w:rsid w:val="001F0B95"/>
    <w:rsid w:val="001F14B5"/>
    <w:rsid w:val="001F3381"/>
    <w:rsid w:val="001F68B0"/>
    <w:rsid w:val="001F7BAD"/>
    <w:rsid w:val="002002A1"/>
    <w:rsid w:val="002030AB"/>
    <w:rsid w:val="002037BF"/>
    <w:rsid w:val="00205AEC"/>
    <w:rsid w:val="00206283"/>
    <w:rsid w:val="00213121"/>
    <w:rsid w:val="002131F8"/>
    <w:rsid w:val="002132E8"/>
    <w:rsid w:val="0021567E"/>
    <w:rsid w:val="00215F1B"/>
    <w:rsid w:val="00220639"/>
    <w:rsid w:val="00221127"/>
    <w:rsid w:val="00222CA5"/>
    <w:rsid w:val="00222CF4"/>
    <w:rsid w:val="0022461D"/>
    <w:rsid w:val="00226A64"/>
    <w:rsid w:val="00230EBC"/>
    <w:rsid w:val="0023648C"/>
    <w:rsid w:val="00236CB3"/>
    <w:rsid w:val="002379CC"/>
    <w:rsid w:val="00241BE5"/>
    <w:rsid w:val="00243C35"/>
    <w:rsid w:val="0024623B"/>
    <w:rsid w:val="002466AD"/>
    <w:rsid w:val="00252016"/>
    <w:rsid w:val="00252111"/>
    <w:rsid w:val="00255BF7"/>
    <w:rsid w:val="002562D7"/>
    <w:rsid w:val="00257F47"/>
    <w:rsid w:val="0026078D"/>
    <w:rsid w:val="00261C2C"/>
    <w:rsid w:val="00261F3E"/>
    <w:rsid w:val="00262017"/>
    <w:rsid w:val="0026725E"/>
    <w:rsid w:val="00271258"/>
    <w:rsid w:val="00274A50"/>
    <w:rsid w:val="00274B6F"/>
    <w:rsid w:val="00274DA7"/>
    <w:rsid w:val="002752FA"/>
    <w:rsid w:val="0028143C"/>
    <w:rsid w:val="00281A09"/>
    <w:rsid w:val="002833F3"/>
    <w:rsid w:val="002837C8"/>
    <w:rsid w:val="00284C4C"/>
    <w:rsid w:val="00285844"/>
    <w:rsid w:val="0029215D"/>
    <w:rsid w:val="00292282"/>
    <w:rsid w:val="002933A2"/>
    <w:rsid w:val="0029346D"/>
    <w:rsid w:val="002950DB"/>
    <w:rsid w:val="00295757"/>
    <w:rsid w:val="0029635A"/>
    <w:rsid w:val="002A01B3"/>
    <w:rsid w:val="002A0594"/>
    <w:rsid w:val="002A1233"/>
    <w:rsid w:val="002A21BD"/>
    <w:rsid w:val="002A42FC"/>
    <w:rsid w:val="002A4AC6"/>
    <w:rsid w:val="002A620D"/>
    <w:rsid w:val="002A6B70"/>
    <w:rsid w:val="002A74CF"/>
    <w:rsid w:val="002A7E78"/>
    <w:rsid w:val="002B1E0A"/>
    <w:rsid w:val="002B2321"/>
    <w:rsid w:val="002B2E96"/>
    <w:rsid w:val="002B3993"/>
    <w:rsid w:val="002B39EA"/>
    <w:rsid w:val="002B3FC9"/>
    <w:rsid w:val="002B52EF"/>
    <w:rsid w:val="002B6867"/>
    <w:rsid w:val="002B7909"/>
    <w:rsid w:val="002C24D1"/>
    <w:rsid w:val="002C25F2"/>
    <w:rsid w:val="002C35A7"/>
    <w:rsid w:val="002C4C2C"/>
    <w:rsid w:val="002C7E5D"/>
    <w:rsid w:val="002D009A"/>
    <w:rsid w:val="002D1F9B"/>
    <w:rsid w:val="002D2C0E"/>
    <w:rsid w:val="002D33CC"/>
    <w:rsid w:val="002D7E16"/>
    <w:rsid w:val="002E171D"/>
    <w:rsid w:val="002E19C7"/>
    <w:rsid w:val="002E4727"/>
    <w:rsid w:val="002E50CA"/>
    <w:rsid w:val="002E6A52"/>
    <w:rsid w:val="002F1485"/>
    <w:rsid w:val="002F3742"/>
    <w:rsid w:val="002F5236"/>
    <w:rsid w:val="002F6EE1"/>
    <w:rsid w:val="00302FCE"/>
    <w:rsid w:val="00303759"/>
    <w:rsid w:val="00304E3B"/>
    <w:rsid w:val="00306EFB"/>
    <w:rsid w:val="00312387"/>
    <w:rsid w:val="00312A87"/>
    <w:rsid w:val="00322BB2"/>
    <w:rsid w:val="00323208"/>
    <w:rsid w:val="0032469F"/>
    <w:rsid w:val="00324C0A"/>
    <w:rsid w:val="0032698A"/>
    <w:rsid w:val="003322E5"/>
    <w:rsid w:val="00332955"/>
    <w:rsid w:val="00333C49"/>
    <w:rsid w:val="00336C8B"/>
    <w:rsid w:val="00340231"/>
    <w:rsid w:val="00341348"/>
    <w:rsid w:val="003430EA"/>
    <w:rsid w:val="00343515"/>
    <w:rsid w:val="00343B36"/>
    <w:rsid w:val="00344D2D"/>
    <w:rsid w:val="00350AD6"/>
    <w:rsid w:val="00352C1B"/>
    <w:rsid w:val="00354DD2"/>
    <w:rsid w:val="00354E25"/>
    <w:rsid w:val="00356E9B"/>
    <w:rsid w:val="003572DF"/>
    <w:rsid w:val="00362BCB"/>
    <w:rsid w:val="00370B3F"/>
    <w:rsid w:val="00370FF6"/>
    <w:rsid w:val="003760C5"/>
    <w:rsid w:val="00382343"/>
    <w:rsid w:val="003854E4"/>
    <w:rsid w:val="0038627A"/>
    <w:rsid w:val="00386FE6"/>
    <w:rsid w:val="00393C41"/>
    <w:rsid w:val="00397CF1"/>
    <w:rsid w:val="003A0242"/>
    <w:rsid w:val="003A0381"/>
    <w:rsid w:val="003A049D"/>
    <w:rsid w:val="003A14B7"/>
    <w:rsid w:val="003A1AC7"/>
    <w:rsid w:val="003A39ED"/>
    <w:rsid w:val="003A3D78"/>
    <w:rsid w:val="003A59D7"/>
    <w:rsid w:val="003A68B0"/>
    <w:rsid w:val="003B0421"/>
    <w:rsid w:val="003B27F9"/>
    <w:rsid w:val="003B3F5D"/>
    <w:rsid w:val="003B4C5C"/>
    <w:rsid w:val="003B6B06"/>
    <w:rsid w:val="003B6F7F"/>
    <w:rsid w:val="003B7F75"/>
    <w:rsid w:val="003C3A9D"/>
    <w:rsid w:val="003C3E92"/>
    <w:rsid w:val="003C4B64"/>
    <w:rsid w:val="003D1B06"/>
    <w:rsid w:val="003E0741"/>
    <w:rsid w:val="003E115C"/>
    <w:rsid w:val="003E1B37"/>
    <w:rsid w:val="003E2C74"/>
    <w:rsid w:val="003E43E3"/>
    <w:rsid w:val="003E5D8D"/>
    <w:rsid w:val="003E7496"/>
    <w:rsid w:val="003F0D2B"/>
    <w:rsid w:val="003F37EF"/>
    <w:rsid w:val="003F3D2B"/>
    <w:rsid w:val="0040524F"/>
    <w:rsid w:val="00405D78"/>
    <w:rsid w:val="004061D6"/>
    <w:rsid w:val="00406D1C"/>
    <w:rsid w:val="00410AF6"/>
    <w:rsid w:val="004112BA"/>
    <w:rsid w:val="00415CD6"/>
    <w:rsid w:val="00416E04"/>
    <w:rsid w:val="00417D98"/>
    <w:rsid w:val="00417FC9"/>
    <w:rsid w:val="00420356"/>
    <w:rsid w:val="004211B3"/>
    <w:rsid w:val="00421448"/>
    <w:rsid w:val="00421C93"/>
    <w:rsid w:val="0042230A"/>
    <w:rsid w:val="0042259F"/>
    <w:rsid w:val="00422DA1"/>
    <w:rsid w:val="0042548E"/>
    <w:rsid w:val="004256E2"/>
    <w:rsid w:val="0042688D"/>
    <w:rsid w:val="004317F5"/>
    <w:rsid w:val="00434D37"/>
    <w:rsid w:val="00435A8A"/>
    <w:rsid w:val="004400C0"/>
    <w:rsid w:val="00440689"/>
    <w:rsid w:val="004424CD"/>
    <w:rsid w:val="00444C3D"/>
    <w:rsid w:val="00445827"/>
    <w:rsid w:val="00445C2D"/>
    <w:rsid w:val="00445EE6"/>
    <w:rsid w:val="00446F4B"/>
    <w:rsid w:val="004504D5"/>
    <w:rsid w:val="00453628"/>
    <w:rsid w:val="00453A67"/>
    <w:rsid w:val="0045422F"/>
    <w:rsid w:val="004570B4"/>
    <w:rsid w:val="00457F36"/>
    <w:rsid w:val="004603C9"/>
    <w:rsid w:val="00462EFC"/>
    <w:rsid w:val="00466DF4"/>
    <w:rsid w:val="00466E61"/>
    <w:rsid w:val="00472132"/>
    <w:rsid w:val="00474FDD"/>
    <w:rsid w:val="004767CD"/>
    <w:rsid w:val="00477A67"/>
    <w:rsid w:val="00483EC9"/>
    <w:rsid w:val="004871F9"/>
    <w:rsid w:val="00490710"/>
    <w:rsid w:val="004916C1"/>
    <w:rsid w:val="0049249D"/>
    <w:rsid w:val="0049455D"/>
    <w:rsid w:val="004947A2"/>
    <w:rsid w:val="00496086"/>
    <w:rsid w:val="00496631"/>
    <w:rsid w:val="00496731"/>
    <w:rsid w:val="00496817"/>
    <w:rsid w:val="004A130E"/>
    <w:rsid w:val="004A14A7"/>
    <w:rsid w:val="004A3101"/>
    <w:rsid w:val="004A5076"/>
    <w:rsid w:val="004A7CCC"/>
    <w:rsid w:val="004A7D5E"/>
    <w:rsid w:val="004B0DBE"/>
    <w:rsid w:val="004B16B0"/>
    <w:rsid w:val="004B1BEE"/>
    <w:rsid w:val="004B1C22"/>
    <w:rsid w:val="004B207C"/>
    <w:rsid w:val="004B24A0"/>
    <w:rsid w:val="004C069A"/>
    <w:rsid w:val="004C1B56"/>
    <w:rsid w:val="004C3EF2"/>
    <w:rsid w:val="004C6B38"/>
    <w:rsid w:val="004C6CCD"/>
    <w:rsid w:val="004D0A7E"/>
    <w:rsid w:val="004D177E"/>
    <w:rsid w:val="004D2C2E"/>
    <w:rsid w:val="004D3EA1"/>
    <w:rsid w:val="004D56C6"/>
    <w:rsid w:val="004D6D87"/>
    <w:rsid w:val="004E0551"/>
    <w:rsid w:val="004E0CEF"/>
    <w:rsid w:val="004E2E32"/>
    <w:rsid w:val="004E3B52"/>
    <w:rsid w:val="004E3D2A"/>
    <w:rsid w:val="004E7ABE"/>
    <w:rsid w:val="004F0766"/>
    <w:rsid w:val="004F5161"/>
    <w:rsid w:val="004F6FF9"/>
    <w:rsid w:val="004F76FF"/>
    <w:rsid w:val="004F7B38"/>
    <w:rsid w:val="004F7BB7"/>
    <w:rsid w:val="004F7D2D"/>
    <w:rsid w:val="00500851"/>
    <w:rsid w:val="00500C18"/>
    <w:rsid w:val="00501B4D"/>
    <w:rsid w:val="005073C0"/>
    <w:rsid w:val="00507A22"/>
    <w:rsid w:val="0051113D"/>
    <w:rsid w:val="00512635"/>
    <w:rsid w:val="0051424F"/>
    <w:rsid w:val="00516122"/>
    <w:rsid w:val="0051633D"/>
    <w:rsid w:val="00521F68"/>
    <w:rsid w:val="00523C15"/>
    <w:rsid w:val="005247B6"/>
    <w:rsid w:val="00525C00"/>
    <w:rsid w:val="00531CE1"/>
    <w:rsid w:val="00531FAF"/>
    <w:rsid w:val="00534B4F"/>
    <w:rsid w:val="00535E12"/>
    <w:rsid w:val="005364ED"/>
    <w:rsid w:val="00536CC6"/>
    <w:rsid w:val="00537D2C"/>
    <w:rsid w:val="00541D63"/>
    <w:rsid w:val="00542146"/>
    <w:rsid w:val="00542CB9"/>
    <w:rsid w:val="0054314A"/>
    <w:rsid w:val="00544108"/>
    <w:rsid w:val="0054489C"/>
    <w:rsid w:val="00546394"/>
    <w:rsid w:val="0054643E"/>
    <w:rsid w:val="00546B08"/>
    <w:rsid w:val="00546E2E"/>
    <w:rsid w:val="00547086"/>
    <w:rsid w:val="00547FF7"/>
    <w:rsid w:val="00550F47"/>
    <w:rsid w:val="00554997"/>
    <w:rsid w:val="005558ED"/>
    <w:rsid w:val="00556B7F"/>
    <w:rsid w:val="00557DD4"/>
    <w:rsid w:val="00557F2E"/>
    <w:rsid w:val="00561E1F"/>
    <w:rsid w:val="00561E49"/>
    <w:rsid w:val="005670F5"/>
    <w:rsid w:val="00570276"/>
    <w:rsid w:val="0057060A"/>
    <w:rsid w:val="00570D8A"/>
    <w:rsid w:val="005715EE"/>
    <w:rsid w:val="005731D2"/>
    <w:rsid w:val="00573925"/>
    <w:rsid w:val="00574486"/>
    <w:rsid w:val="0057459F"/>
    <w:rsid w:val="0057492A"/>
    <w:rsid w:val="00574B8D"/>
    <w:rsid w:val="00582D87"/>
    <w:rsid w:val="00584F8A"/>
    <w:rsid w:val="005855DE"/>
    <w:rsid w:val="005877A3"/>
    <w:rsid w:val="005917C9"/>
    <w:rsid w:val="0059558F"/>
    <w:rsid w:val="00595FF1"/>
    <w:rsid w:val="00597FDE"/>
    <w:rsid w:val="005A1831"/>
    <w:rsid w:val="005A220C"/>
    <w:rsid w:val="005A3EB4"/>
    <w:rsid w:val="005A5B1E"/>
    <w:rsid w:val="005A6057"/>
    <w:rsid w:val="005A6292"/>
    <w:rsid w:val="005B02F0"/>
    <w:rsid w:val="005B5B70"/>
    <w:rsid w:val="005B6325"/>
    <w:rsid w:val="005B64A7"/>
    <w:rsid w:val="005B7AF2"/>
    <w:rsid w:val="005C08B1"/>
    <w:rsid w:val="005C43CF"/>
    <w:rsid w:val="005C4719"/>
    <w:rsid w:val="005C65CB"/>
    <w:rsid w:val="005D0665"/>
    <w:rsid w:val="005D14F3"/>
    <w:rsid w:val="005D79D2"/>
    <w:rsid w:val="005E00AD"/>
    <w:rsid w:val="005E2FDA"/>
    <w:rsid w:val="005E3B42"/>
    <w:rsid w:val="005E56CC"/>
    <w:rsid w:val="005E6776"/>
    <w:rsid w:val="005F1E1F"/>
    <w:rsid w:val="005F2CDB"/>
    <w:rsid w:val="005F39A4"/>
    <w:rsid w:val="006045DC"/>
    <w:rsid w:val="00604F04"/>
    <w:rsid w:val="00606774"/>
    <w:rsid w:val="006077C5"/>
    <w:rsid w:val="00607C5A"/>
    <w:rsid w:val="0061004D"/>
    <w:rsid w:val="00611B20"/>
    <w:rsid w:val="00611D51"/>
    <w:rsid w:val="006142DA"/>
    <w:rsid w:val="00615334"/>
    <w:rsid w:val="0062088E"/>
    <w:rsid w:val="00624C6F"/>
    <w:rsid w:val="006260E3"/>
    <w:rsid w:val="00626C12"/>
    <w:rsid w:val="0062731B"/>
    <w:rsid w:val="00632E4F"/>
    <w:rsid w:val="00634050"/>
    <w:rsid w:val="00635053"/>
    <w:rsid w:val="006360AD"/>
    <w:rsid w:val="00636FCA"/>
    <w:rsid w:val="00640D7B"/>
    <w:rsid w:val="00640DBF"/>
    <w:rsid w:val="00643CC7"/>
    <w:rsid w:val="00647A85"/>
    <w:rsid w:val="00651254"/>
    <w:rsid w:val="00651BA6"/>
    <w:rsid w:val="006523EC"/>
    <w:rsid w:val="00653F38"/>
    <w:rsid w:val="006547D3"/>
    <w:rsid w:val="00655207"/>
    <w:rsid w:val="00662E09"/>
    <w:rsid w:val="006651DD"/>
    <w:rsid w:val="00672331"/>
    <w:rsid w:val="006743B1"/>
    <w:rsid w:val="00675A84"/>
    <w:rsid w:val="00677E90"/>
    <w:rsid w:val="00682DF9"/>
    <w:rsid w:val="00683935"/>
    <w:rsid w:val="00685478"/>
    <w:rsid w:val="006863C0"/>
    <w:rsid w:val="00691B5B"/>
    <w:rsid w:val="00695178"/>
    <w:rsid w:val="00695928"/>
    <w:rsid w:val="00696748"/>
    <w:rsid w:val="00696DC3"/>
    <w:rsid w:val="0069732F"/>
    <w:rsid w:val="00697B0C"/>
    <w:rsid w:val="006A1AEC"/>
    <w:rsid w:val="006A25E8"/>
    <w:rsid w:val="006A4229"/>
    <w:rsid w:val="006A64B6"/>
    <w:rsid w:val="006A6A80"/>
    <w:rsid w:val="006A6B5D"/>
    <w:rsid w:val="006A730E"/>
    <w:rsid w:val="006B0C6F"/>
    <w:rsid w:val="006B161F"/>
    <w:rsid w:val="006B2769"/>
    <w:rsid w:val="006B3E38"/>
    <w:rsid w:val="006B59AB"/>
    <w:rsid w:val="006B5C4D"/>
    <w:rsid w:val="006B739C"/>
    <w:rsid w:val="006C0132"/>
    <w:rsid w:val="006C26BD"/>
    <w:rsid w:val="006C2E3D"/>
    <w:rsid w:val="006C44B1"/>
    <w:rsid w:val="006C4BA9"/>
    <w:rsid w:val="006C5731"/>
    <w:rsid w:val="006C72FA"/>
    <w:rsid w:val="006C7444"/>
    <w:rsid w:val="006D230C"/>
    <w:rsid w:val="006D2496"/>
    <w:rsid w:val="006D320F"/>
    <w:rsid w:val="006D356F"/>
    <w:rsid w:val="006E0968"/>
    <w:rsid w:val="006F250E"/>
    <w:rsid w:val="006F31FD"/>
    <w:rsid w:val="006F4432"/>
    <w:rsid w:val="006F496E"/>
    <w:rsid w:val="006F53D4"/>
    <w:rsid w:val="006F7959"/>
    <w:rsid w:val="006F7BA9"/>
    <w:rsid w:val="0070152C"/>
    <w:rsid w:val="00702CA6"/>
    <w:rsid w:val="00705A7C"/>
    <w:rsid w:val="00705EAD"/>
    <w:rsid w:val="00707AAC"/>
    <w:rsid w:val="00707DE0"/>
    <w:rsid w:val="00711F3E"/>
    <w:rsid w:val="00712145"/>
    <w:rsid w:val="007123D7"/>
    <w:rsid w:val="00713714"/>
    <w:rsid w:val="00714745"/>
    <w:rsid w:val="00716781"/>
    <w:rsid w:val="00717C82"/>
    <w:rsid w:val="00720716"/>
    <w:rsid w:val="00724446"/>
    <w:rsid w:val="00724AE3"/>
    <w:rsid w:val="007264FE"/>
    <w:rsid w:val="00726CF7"/>
    <w:rsid w:val="0072F4CE"/>
    <w:rsid w:val="007310B8"/>
    <w:rsid w:val="00731E30"/>
    <w:rsid w:val="00734B61"/>
    <w:rsid w:val="00735E58"/>
    <w:rsid w:val="0073607D"/>
    <w:rsid w:val="007361B8"/>
    <w:rsid w:val="0074125B"/>
    <w:rsid w:val="00743350"/>
    <w:rsid w:val="007448BC"/>
    <w:rsid w:val="00745F35"/>
    <w:rsid w:val="00746473"/>
    <w:rsid w:val="00747DF3"/>
    <w:rsid w:val="00747E36"/>
    <w:rsid w:val="00750641"/>
    <w:rsid w:val="00753E8E"/>
    <w:rsid w:val="00761E5F"/>
    <w:rsid w:val="00762854"/>
    <w:rsid w:val="007628F2"/>
    <w:rsid w:val="00762CD6"/>
    <w:rsid w:val="00766519"/>
    <w:rsid w:val="00767422"/>
    <w:rsid w:val="00770325"/>
    <w:rsid w:val="0077050D"/>
    <w:rsid w:val="00770C9E"/>
    <w:rsid w:val="00771773"/>
    <w:rsid w:val="007743DC"/>
    <w:rsid w:val="00776160"/>
    <w:rsid w:val="007769B4"/>
    <w:rsid w:val="007817A7"/>
    <w:rsid w:val="00782EDD"/>
    <w:rsid w:val="00783727"/>
    <w:rsid w:val="00783A4C"/>
    <w:rsid w:val="00783D26"/>
    <w:rsid w:val="0078594F"/>
    <w:rsid w:val="00787CDA"/>
    <w:rsid w:val="00787E15"/>
    <w:rsid w:val="00791006"/>
    <w:rsid w:val="0079390C"/>
    <w:rsid w:val="0079392D"/>
    <w:rsid w:val="00793A5B"/>
    <w:rsid w:val="00793FE1"/>
    <w:rsid w:val="00794A91"/>
    <w:rsid w:val="00794D3C"/>
    <w:rsid w:val="00794E13"/>
    <w:rsid w:val="0079562E"/>
    <w:rsid w:val="00795CB1"/>
    <w:rsid w:val="00796B11"/>
    <w:rsid w:val="007A33E2"/>
    <w:rsid w:val="007A5329"/>
    <w:rsid w:val="007B0653"/>
    <w:rsid w:val="007B1D6F"/>
    <w:rsid w:val="007B3B22"/>
    <w:rsid w:val="007B5DA1"/>
    <w:rsid w:val="007C0060"/>
    <w:rsid w:val="007C11FB"/>
    <w:rsid w:val="007C369E"/>
    <w:rsid w:val="007C5475"/>
    <w:rsid w:val="007C57F7"/>
    <w:rsid w:val="007D02FD"/>
    <w:rsid w:val="007D05A3"/>
    <w:rsid w:val="007D05E6"/>
    <w:rsid w:val="007D0DD4"/>
    <w:rsid w:val="007D2042"/>
    <w:rsid w:val="007D24DB"/>
    <w:rsid w:val="007D303E"/>
    <w:rsid w:val="007D514C"/>
    <w:rsid w:val="007D67CC"/>
    <w:rsid w:val="007E1E1A"/>
    <w:rsid w:val="007E3AC4"/>
    <w:rsid w:val="007F3010"/>
    <w:rsid w:val="007F3A05"/>
    <w:rsid w:val="007F3EE4"/>
    <w:rsid w:val="007F4C57"/>
    <w:rsid w:val="007F573F"/>
    <w:rsid w:val="007F5AD2"/>
    <w:rsid w:val="007F7B1B"/>
    <w:rsid w:val="00803D84"/>
    <w:rsid w:val="0080512E"/>
    <w:rsid w:val="008054BC"/>
    <w:rsid w:val="008054D7"/>
    <w:rsid w:val="00811273"/>
    <w:rsid w:val="0081314F"/>
    <w:rsid w:val="00814967"/>
    <w:rsid w:val="0081603E"/>
    <w:rsid w:val="008173A4"/>
    <w:rsid w:val="00821F53"/>
    <w:rsid w:val="0082243E"/>
    <w:rsid w:val="008228D7"/>
    <w:rsid w:val="0082435C"/>
    <w:rsid w:val="008249CD"/>
    <w:rsid w:val="00825EAE"/>
    <w:rsid w:val="0082619A"/>
    <w:rsid w:val="00827A53"/>
    <w:rsid w:val="0083162C"/>
    <w:rsid w:val="00833761"/>
    <w:rsid w:val="00833800"/>
    <w:rsid w:val="00836F2E"/>
    <w:rsid w:val="008371FB"/>
    <w:rsid w:val="008434FE"/>
    <w:rsid w:val="00843E18"/>
    <w:rsid w:val="008441E2"/>
    <w:rsid w:val="008477A0"/>
    <w:rsid w:val="00851AB1"/>
    <w:rsid w:val="00852440"/>
    <w:rsid w:val="00853839"/>
    <w:rsid w:val="008558AB"/>
    <w:rsid w:val="008558CA"/>
    <w:rsid w:val="00856E21"/>
    <w:rsid w:val="00860BA9"/>
    <w:rsid w:val="0086166B"/>
    <w:rsid w:val="00865DD3"/>
    <w:rsid w:val="00866E38"/>
    <w:rsid w:val="008728FC"/>
    <w:rsid w:val="008731E2"/>
    <w:rsid w:val="00874C9D"/>
    <w:rsid w:val="0087523B"/>
    <w:rsid w:val="00883811"/>
    <w:rsid w:val="00883F25"/>
    <w:rsid w:val="008840DE"/>
    <w:rsid w:val="0088515E"/>
    <w:rsid w:val="00885832"/>
    <w:rsid w:val="00890DA9"/>
    <w:rsid w:val="00892517"/>
    <w:rsid w:val="008A3D01"/>
    <w:rsid w:val="008A5C4C"/>
    <w:rsid w:val="008A5DCE"/>
    <w:rsid w:val="008A6DAD"/>
    <w:rsid w:val="008A6EC7"/>
    <w:rsid w:val="008B2C48"/>
    <w:rsid w:val="008B41E2"/>
    <w:rsid w:val="008B466C"/>
    <w:rsid w:val="008B4BA9"/>
    <w:rsid w:val="008B5BFC"/>
    <w:rsid w:val="008B70F7"/>
    <w:rsid w:val="008B7AC9"/>
    <w:rsid w:val="008B7B52"/>
    <w:rsid w:val="008C00E2"/>
    <w:rsid w:val="008C48C1"/>
    <w:rsid w:val="008C57B0"/>
    <w:rsid w:val="008D0036"/>
    <w:rsid w:val="008D1880"/>
    <w:rsid w:val="008D1D5B"/>
    <w:rsid w:val="008E02C0"/>
    <w:rsid w:val="008E3783"/>
    <w:rsid w:val="008E5D52"/>
    <w:rsid w:val="008E699F"/>
    <w:rsid w:val="008F0ADE"/>
    <w:rsid w:val="008F12F5"/>
    <w:rsid w:val="008F2573"/>
    <w:rsid w:val="008F25AA"/>
    <w:rsid w:val="008F2ADB"/>
    <w:rsid w:val="008F4665"/>
    <w:rsid w:val="008F4945"/>
    <w:rsid w:val="008F608C"/>
    <w:rsid w:val="009000D8"/>
    <w:rsid w:val="00903E4D"/>
    <w:rsid w:val="0090523B"/>
    <w:rsid w:val="00905BEC"/>
    <w:rsid w:val="00905C19"/>
    <w:rsid w:val="00905D53"/>
    <w:rsid w:val="00907F69"/>
    <w:rsid w:val="00910426"/>
    <w:rsid w:val="009169FD"/>
    <w:rsid w:val="00916C4A"/>
    <w:rsid w:val="00920E8F"/>
    <w:rsid w:val="0092350D"/>
    <w:rsid w:val="009248B9"/>
    <w:rsid w:val="0092686E"/>
    <w:rsid w:val="00933714"/>
    <w:rsid w:val="00934A2B"/>
    <w:rsid w:val="009370F4"/>
    <w:rsid w:val="00940865"/>
    <w:rsid w:val="00940880"/>
    <w:rsid w:val="00943C4B"/>
    <w:rsid w:val="00950F58"/>
    <w:rsid w:val="00951D35"/>
    <w:rsid w:val="009521BA"/>
    <w:rsid w:val="00953AE6"/>
    <w:rsid w:val="00953DA1"/>
    <w:rsid w:val="00954097"/>
    <w:rsid w:val="00955DC2"/>
    <w:rsid w:val="009577E6"/>
    <w:rsid w:val="00960E83"/>
    <w:rsid w:val="00962127"/>
    <w:rsid w:val="00964930"/>
    <w:rsid w:val="009652D3"/>
    <w:rsid w:val="009673CA"/>
    <w:rsid w:val="00970665"/>
    <w:rsid w:val="009709A9"/>
    <w:rsid w:val="009717B6"/>
    <w:rsid w:val="00971CEB"/>
    <w:rsid w:val="009728ED"/>
    <w:rsid w:val="00975419"/>
    <w:rsid w:val="009756D8"/>
    <w:rsid w:val="009760EC"/>
    <w:rsid w:val="00976BDC"/>
    <w:rsid w:val="00981620"/>
    <w:rsid w:val="009817B6"/>
    <w:rsid w:val="009818B5"/>
    <w:rsid w:val="00981E3B"/>
    <w:rsid w:val="00981F83"/>
    <w:rsid w:val="00983A09"/>
    <w:rsid w:val="00986290"/>
    <w:rsid w:val="00990287"/>
    <w:rsid w:val="009914FF"/>
    <w:rsid w:val="00992383"/>
    <w:rsid w:val="00994DA6"/>
    <w:rsid w:val="00995CD4"/>
    <w:rsid w:val="00996B00"/>
    <w:rsid w:val="009978BD"/>
    <w:rsid w:val="00997992"/>
    <w:rsid w:val="009A0158"/>
    <w:rsid w:val="009A0402"/>
    <w:rsid w:val="009A0B05"/>
    <w:rsid w:val="009A1072"/>
    <w:rsid w:val="009A2006"/>
    <w:rsid w:val="009A4437"/>
    <w:rsid w:val="009A7502"/>
    <w:rsid w:val="009B210C"/>
    <w:rsid w:val="009B2983"/>
    <w:rsid w:val="009B3E60"/>
    <w:rsid w:val="009B7EDB"/>
    <w:rsid w:val="009C001F"/>
    <w:rsid w:val="009C161F"/>
    <w:rsid w:val="009C1795"/>
    <w:rsid w:val="009C20E6"/>
    <w:rsid w:val="009C2F7F"/>
    <w:rsid w:val="009C4D6E"/>
    <w:rsid w:val="009C4E16"/>
    <w:rsid w:val="009C59E0"/>
    <w:rsid w:val="009C7226"/>
    <w:rsid w:val="009D080B"/>
    <w:rsid w:val="009D2280"/>
    <w:rsid w:val="009E1489"/>
    <w:rsid w:val="009E1B40"/>
    <w:rsid w:val="009E1C8D"/>
    <w:rsid w:val="009E678B"/>
    <w:rsid w:val="009E7655"/>
    <w:rsid w:val="009F02A2"/>
    <w:rsid w:val="009F2243"/>
    <w:rsid w:val="009F2B11"/>
    <w:rsid w:val="009F33D3"/>
    <w:rsid w:val="009F4CCA"/>
    <w:rsid w:val="009F6C47"/>
    <w:rsid w:val="009F7063"/>
    <w:rsid w:val="00A0375B"/>
    <w:rsid w:val="00A06D6C"/>
    <w:rsid w:val="00A070F5"/>
    <w:rsid w:val="00A07852"/>
    <w:rsid w:val="00A10471"/>
    <w:rsid w:val="00A10723"/>
    <w:rsid w:val="00A12AD8"/>
    <w:rsid w:val="00A13839"/>
    <w:rsid w:val="00A1553D"/>
    <w:rsid w:val="00A16DCF"/>
    <w:rsid w:val="00A1766A"/>
    <w:rsid w:val="00A2093A"/>
    <w:rsid w:val="00A2471C"/>
    <w:rsid w:val="00A2520C"/>
    <w:rsid w:val="00A31938"/>
    <w:rsid w:val="00A32FC3"/>
    <w:rsid w:val="00A33EA3"/>
    <w:rsid w:val="00A3410F"/>
    <w:rsid w:val="00A3593E"/>
    <w:rsid w:val="00A36400"/>
    <w:rsid w:val="00A3649D"/>
    <w:rsid w:val="00A42C6A"/>
    <w:rsid w:val="00A439D3"/>
    <w:rsid w:val="00A44726"/>
    <w:rsid w:val="00A46116"/>
    <w:rsid w:val="00A46467"/>
    <w:rsid w:val="00A479EA"/>
    <w:rsid w:val="00A51B37"/>
    <w:rsid w:val="00A51F00"/>
    <w:rsid w:val="00A5268E"/>
    <w:rsid w:val="00A52C17"/>
    <w:rsid w:val="00A6670F"/>
    <w:rsid w:val="00A668CB"/>
    <w:rsid w:val="00A70A3C"/>
    <w:rsid w:val="00A71331"/>
    <w:rsid w:val="00A7361F"/>
    <w:rsid w:val="00A73AEB"/>
    <w:rsid w:val="00A758CA"/>
    <w:rsid w:val="00A76318"/>
    <w:rsid w:val="00A76F18"/>
    <w:rsid w:val="00A802B2"/>
    <w:rsid w:val="00A812CF"/>
    <w:rsid w:val="00A81BC3"/>
    <w:rsid w:val="00A83F9D"/>
    <w:rsid w:val="00A8603E"/>
    <w:rsid w:val="00A870B8"/>
    <w:rsid w:val="00A87721"/>
    <w:rsid w:val="00A90A21"/>
    <w:rsid w:val="00A90A2E"/>
    <w:rsid w:val="00A9203D"/>
    <w:rsid w:val="00A927B3"/>
    <w:rsid w:val="00A94BC1"/>
    <w:rsid w:val="00A9558A"/>
    <w:rsid w:val="00A96E43"/>
    <w:rsid w:val="00AA0096"/>
    <w:rsid w:val="00AA1F5A"/>
    <w:rsid w:val="00AA4C42"/>
    <w:rsid w:val="00AA68F8"/>
    <w:rsid w:val="00AA7877"/>
    <w:rsid w:val="00AB2E74"/>
    <w:rsid w:val="00AB4BEB"/>
    <w:rsid w:val="00AB550C"/>
    <w:rsid w:val="00AB70BE"/>
    <w:rsid w:val="00AB7E8E"/>
    <w:rsid w:val="00AC08AE"/>
    <w:rsid w:val="00AC0A8B"/>
    <w:rsid w:val="00AC0DB0"/>
    <w:rsid w:val="00AC1BD6"/>
    <w:rsid w:val="00AC1FEA"/>
    <w:rsid w:val="00AC2F7D"/>
    <w:rsid w:val="00AC391C"/>
    <w:rsid w:val="00AC5DBC"/>
    <w:rsid w:val="00AC6E32"/>
    <w:rsid w:val="00AC6E72"/>
    <w:rsid w:val="00AD0089"/>
    <w:rsid w:val="00AD1021"/>
    <w:rsid w:val="00AD417E"/>
    <w:rsid w:val="00AD4925"/>
    <w:rsid w:val="00AE1409"/>
    <w:rsid w:val="00AE4061"/>
    <w:rsid w:val="00AE43FA"/>
    <w:rsid w:val="00AE6320"/>
    <w:rsid w:val="00AE6697"/>
    <w:rsid w:val="00AE6D5E"/>
    <w:rsid w:val="00AF00F5"/>
    <w:rsid w:val="00AF05A2"/>
    <w:rsid w:val="00AF1171"/>
    <w:rsid w:val="00AF15ED"/>
    <w:rsid w:val="00AF60AC"/>
    <w:rsid w:val="00AF6405"/>
    <w:rsid w:val="00AF6582"/>
    <w:rsid w:val="00AF68E7"/>
    <w:rsid w:val="00B0127B"/>
    <w:rsid w:val="00B01714"/>
    <w:rsid w:val="00B01953"/>
    <w:rsid w:val="00B01E52"/>
    <w:rsid w:val="00B042F9"/>
    <w:rsid w:val="00B05C89"/>
    <w:rsid w:val="00B06E8E"/>
    <w:rsid w:val="00B10FE6"/>
    <w:rsid w:val="00B122C4"/>
    <w:rsid w:val="00B12955"/>
    <w:rsid w:val="00B133DE"/>
    <w:rsid w:val="00B1575B"/>
    <w:rsid w:val="00B174CA"/>
    <w:rsid w:val="00B20FB2"/>
    <w:rsid w:val="00B2137F"/>
    <w:rsid w:val="00B23947"/>
    <w:rsid w:val="00B24507"/>
    <w:rsid w:val="00B278C0"/>
    <w:rsid w:val="00B30FF2"/>
    <w:rsid w:val="00B3451D"/>
    <w:rsid w:val="00B345C6"/>
    <w:rsid w:val="00B34F93"/>
    <w:rsid w:val="00B35ED0"/>
    <w:rsid w:val="00B37E71"/>
    <w:rsid w:val="00B44C86"/>
    <w:rsid w:val="00B45886"/>
    <w:rsid w:val="00B46D68"/>
    <w:rsid w:val="00B47787"/>
    <w:rsid w:val="00B50DBE"/>
    <w:rsid w:val="00B50DFA"/>
    <w:rsid w:val="00B53845"/>
    <w:rsid w:val="00B5385D"/>
    <w:rsid w:val="00B540BC"/>
    <w:rsid w:val="00B5507A"/>
    <w:rsid w:val="00B558C9"/>
    <w:rsid w:val="00B56277"/>
    <w:rsid w:val="00B611DE"/>
    <w:rsid w:val="00B631FA"/>
    <w:rsid w:val="00B72D49"/>
    <w:rsid w:val="00B77133"/>
    <w:rsid w:val="00B8000E"/>
    <w:rsid w:val="00B813FF"/>
    <w:rsid w:val="00B823F1"/>
    <w:rsid w:val="00B823F5"/>
    <w:rsid w:val="00B87F96"/>
    <w:rsid w:val="00B90A24"/>
    <w:rsid w:val="00B962C0"/>
    <w:rsid w:val="00B97B0B"/>
    <w:rsid w:val="00BA0F66"/>
    <w:rsid w:val="00BA39CE"/>
    <w:rsid w:val="00BA4F31"/>
    <w:rsid w:val="00BA5D30"/>
    <w:rsid w:val="00BA6536"/>
    <w:rsid w:val="00BA791A"/>
    <w:rsid w:val="00BB1267"/>
    <w:rsid w:val="00BB2F10"/>
    <w:rsid w:val="00BB2FA6"/>
    <w:rsid w:val="00BB4506"/>
    <w:rsid w:val="00BB55A6"/>
    <w:rsid w:val="00BB58C1"/>
    <w:rsid w:val="00BC18EB"/>
    <w:rsid w:val="00BC195B"/>
    <w:rsid w:val="00BC196B"/>
    <w:rsid w:val="00BC2617"/>
    <w:rsid w:val="00BD1614"/>
    <w:rsid w:val="00BD1E5D"/>
    <w:rsid w:val="00BD2408"/>
    <w:rsid w:val="00BD4D9E"/>
    <w:rsid w:val="00BD51F9"/>
    <w:rsid w:val="00BE1C35"/>
    <w:rsid w:val="00BE28CF"/>
    <w:rsid w:val="00BE491C"/>
    <w:rsid w:val="00BF015E"/>
    <w:rsid w:val="00BF0F61"/>
    <w:rsid w:val="00BF255B"/>
    <w:rsid w:val="00BF4CD0"/>
    <w:rsid w:val="00BF53B9"/>
    <w:rsid w:val="00BF55E5"/>
    <w:rsid w:val="00BF68F6"/>
    <w:rsid w:val="00BF7FB2"/>
    <w:rsid w:val="00C00B4F"/>
    <w:rsid w:val="00C01904"/>
    <w:rsid w:val="00C03E25"/>
    <w:rsid w:val="00C0486C"/>
    <w:rsid w:val="00C05058"/>
    <w:rsid w:val="00C064DA"/>
    <w:rsid w:val="00C06E97"/>
    <w:rsid w:val="00C07E40"/>
    <w:rsid w:val="00C11DCA"/>
    <w:rsid w:val="00C12916"/>
    <w:rsid w:val="00C12B72"/>
    <w:rsid w:val="00C13B87"/>
    <w:rsid w:val="00C166C0"/>
    <w:rsid w:val="00C17432"/>
    <w:rsid w:val="00C20193"/>
    <w:rsid w:val="00C23B22"/>
    <w:rsid w:val="00C30895"/>
    <w:rsid w:val="00C31710"/>
    <w:rsid w:val="00C32187"/>
    <w:rsid w:val="00C32C15"/>
    <w:rsid w:val="00C37DE2"/>
    <w:rsid w:val="00C41396"/>
    <w:rsid w:val="00C42973"/>
    <w:rsid w:val="00C4434D"/>
    <w:rsid w:val="00C47191"/>
    <w:rsid w:val="00C5141D"/>
    <w:rsid w:val="00C51FB3"/>
    <w:rsid w:val="00C544C7"/>
    <w:rsid w:val="00C552B4"/>
    <w:rsid w:val="00C57596"/>
    <w:rsid w:val="00C654DA"/>
    <w:rsid w:val="00C65636"/>
    <w:rsid w:val="00C66DAA"/>
    <w:rsid w:val="00C671DE"/>
    <w:rsid w:val="00C70F7B"/>
    <w:rsid w:val="00C72A4E"/>
    <w:rsid w:val="00C73BA2"/>
    <w:rsid w:val="00C74F6A"/>
    <w:rsid w:val="00C81C79"/>
    <w:rsid w:val="00C83309"/>
    <w:rsid w:val="00C833B0"/>
    <w:rsid w:val="00C86213"/>
    <w:rsid w:val="00C90DC5"/>
    <w:rsid w:val="00C91218"/>
    <w:rsid w:val="00C9208C"/>
    <w:rsid w:val="00C93644"/>
    <w:rsid w:val="00C97052"/>
    <w:rsid w:val="00CA0241"/>
    <w:rsid w:val="00CA05FE"/>
    <w:rsid w:val="00CA0A04"/>
    <w:rsid w:val="00CA1303"/>
    <w:rsid w:val="00CA21AF"/>
    <w:rsid w:val="00CA3EE0"/>
    <w:rsid w:val="00CA416A"/>
    <w:rsid w:val="00CA4660"/>
    <w:rsid w:val="00CA4CA0"/>
    <w:rsid w:val="00CA5622"/>
    <w:rsid w:val="00CA7AB3"/>
    <w:rsid w:val="00CB0046"/>
    <w:rsid w:val="00CB2E44"/>
    <w:rsid w:val="00CB3FD3"/>
    <w:rsid w:val="00CB5053"/>
    <w:rsid w:val="00CB559E"/>
    <w:rsid w:val="00CC10D8"/>
    <w:rsid w:val="00CC41C5"/>
    <w:rsid w:val="00CC464D"/>
    <w:rsid w:val="00CC46E9"/>
    <w:rsid w:val="00CC520B"/>
    <w:rsid w:val="00CC5A50"/>
    <w:rsid w:val="00CC7A21"/>
    <w:rsid w:val="00CC7CFB"/>
    <w:rsid w:val="00CD170F"/>
    <w:rsid w:val="00CD1B35"/>
    <w:rsid w:val="00CE1161"/>
    <w:rsid w:val="00CE3843"/>
    <w:rsid w:val="00CE442D"/>
    <w:rsid w:val="00CE5143"/>
    <w:rsid w:val="00CE53E7"/>
    <w:rsid w:val="00CE5A0F"/>
    <w:rsid w:val="00CE6AA5"/>
    <w:rsid w:val="00CE7C88"/>
    <w:rsid w:val="00CF0534"/>
    <w:rsid w:val="00CF0A0A"/>
    <w:rsid w:val="00CF27EB"/>
    <w:rsid w:val="00CF3814"/>
    <w:rsid w:val="00CF5035"/>
    <w:rsid w:val="00CF6185"/>
    <w:rsid w:val="00CF78E0"/>
    <w:rsid w:val="00CF79BD"/>
    <w:rsid w:val="00CF7D7D"/>
    <w:rsid w:val="00CF7F62"/>
    <w:rsid w:val="00D00056"/>
    <w:rsid w:val="00D00D3B"/>
    <w:rsid w:val="00D01ABD"/>
    <w:rsid w:val="00D042B3"/>
    <w:rsid w:val="00D052C2"/>
    <w:rsid w:val="00D06855"/>
    <w:rsid w:val="00D0767F"/>
    <w:rsid w:val="00D07BB2"/>
    <w:rsid w:val="00D10D7D"/>
    <w:rsid w:val="00D10DD7"/>
    <w:rsid w:val="00D1140B"/>
    <w:rsid w:val="00D11EA9"/>
    <w:rsid w:val="00D12898"/>
    <w:rsid w:val="00D14278"/>
    <w:rsid w:val="00D14EA1"/>
    <w:rsid w:val="00D14F67"/>
    <w:rsid w:val="00D160E2"/>
    <w:rsid w:val="00D164CD"/>
    <w:rsid w:val="00D20FED"/>
    <w:rsid w:val="00D22C0F"/>
    <w:rsid w:val="00D243FA"/>
    <w:rsid w:val="00D261EB"/>
    <w:rsid w:val="00D30371"/>
    <w:rsid w:val="00D31BBE"/>
    <w:rsid w:val="00D33E84"/>
    <w:rsid w:val="00D353BF"/>
    <w:rsid w:val="00D375F1"/>
    <w:rsid w:val="00D405CD"/>
    <w:rsid w:val="00D4110B"/>
    <w:rsid w:val="00D44DF6"/>
    <w:rsid w:val="00D47B24"/>
    <w:rsid w:val="00D47EAD"/>
    <w:rsid w:val="00D508DD"/>
    <w:rsid w:val="00D512DC"/>
    <w:rsid w:val="00D53D41"/>
    <w:rsid w:val="00D54811"/>
    <w:rsid w:val="00D54B40"/>
    <w:rsid w:val="00D5746E"/>
    <w:rsid w:val="00D60714"/>
    <w:rsid w:val="00D60B2C"/>
    <w:rsid w:val="00D61ADB"/>
    <w:rsid w:val="00D6278F"/>
    <w:rsid w:val="00D63A72"/>
    <w:rsid w:val="00D66C5F"/>
    <w:rsid w:val="00D6740A"/>
    <w:rsid w:val="00D67E3C"/>
    <w:rsid w:val="00D67E95"/>
    <w:rsid w:val="00D707FA"/>
    <w:rsid w:val="00D7338C"/>
    <w:rsid w:val="00D754D4"/>
    <w:rsid w:val="00D76BA6"/>
    <w:rsid w:val="00D77750"/>
    <w:rsid w:val="00D81F8A"/>
    <w:rsid w:val="00D8375E"/>
    <w:rsid w:val="00D83C5E"/>
    <w:rsid w:val="00D844D2"/>
    <w:rsid w:val="00D85270"/>
    <w:rsid w:val="00D879F5"/>
    <w:rsid w:val="00D87B22"/>
    <w:rsid w:val="00D92282"/>
    <w:rsid w:val="00D92914"/>
    <w:rsid w:val="00D930D7"/>
    <w:rsid w:val="00D93F1D"/>
    <w:rsid w:val="00D94022"/>
    <w:rsid w:val="00D94AA4"/>
    <w:rsid w:val="00DA1663"/>
    <w:rsid w:val="00DA470A"/>
    <w:rsid w:val="00DA4933"/>
    <w:rsid w:val="00DA662D"/>
    <w:rsid w:val="00DA6E04"/>
    <w:rsid w:val="00DB0E6D"/>
    <w:rsid w:val="00DB1E0E"/>
    <w:rsid w:val="00DB267A"/>
    <w:rsid w:val="00DB3818"/>
    <w:rsid w:val="00DB39D8"/>
    <w:rsid w:val="00DB467C"/>
    <w:rsid w:val="00DB4872"/>
    <w:rsid w:val="00DC12F9"/>
    <w:rsid w:val="00DC2634"/>
    <w:rsid w:val="00DC367D"/>
    <w:rsid w:val="00DC3F24"/>
    <w:rsid w:val="00DC512A"/>
    <w:rsid w:val="00DC567F"/>
    <w:rsid w:val="00DC6271"/>
    <w:rsid w:val="00DC695B"/>
    <w:rsid w:val="00DD0A10"/>
    <w:rsid w:val="00DD0EA7"/>
    <w:rsid w:val="00DD347B"/>
    <w:rsid w:val="00DD46EF"/>
    <w:rsid w:val="00DD6A2A"/>
    <w:rsid w:val="00DD7D65"/>
    <w:rsid w:val="00DE3DD2"/>
    <w:rsid w:val="00DE50A0"/>
    <w:rsid w:val="00DE5866"/>
    <w:rsid w:val="00DE6759"/>
    <w:rsid w:val="00DE779B"/>
    <w:rsid w:val="00DF044E"/>
    <w:rsid w:val="00DF279A"/>
    <w:rsid w:val="00DF27B3"/>
    <w:rsid w:val="00DF3F7C"/>
    <w:rsid w:val="00DF5107"/>
    <w:rsid w:val="00DF791B"/>
    <w:rsid w:val="00E01CBC"/>
    <w:rsid w:val="00E05FC1"/>
    <w:rsid w:val="00E13A9C"/>
    <w:rsid w:val="00E15DF7"/>
    <w:rsid w:val="00E165A4"/>
    <w:rsid w:val="00E17E00"/>
    <w:rsid w:val="00E22421"/>
    <w:rsid w:val="00E24702"/>
    <w:rsid w:val="00E2592E"/>
    <w:rsid w:val="00E26B41"/>
    <w:rsid w:val="00E3116B"/>
    <w:rsid w:val="00E3213F"/>
    <w:rsid w:val="00E355EB"/>
    <w:rsid w:val="00E40051"/>
    <w:rsid w:val="00E40F11"/>
    <w:rsid w:val="00E41BD4"/>
    <w:rsid w:val="00E44EC7"/>
    <w:rsid w:val="00E47DC0"/>
    <w:rsid w:val="00E47E80"/>
    <w:rsid w:val="00E5075C"/>
    <w:rsid w:val="00E5460A"/>
    <w:rsid w:val="00E6027E"/>
    <w:rsid w:val="00E627E9"/>
    <w:rsid w:val="00E63D40"/>
    <w:rsid w:val="00E63DF9"/>
    <w:rsid w:val="00E654E5"/>
    <w:rsid w:val="00E67012"/>
    <w:rsid w:val="00E67B47"/>
    <w:rsid w:val="00E710A2"/>
    <w:rsid w:val="00E73F68"/>
    <w:rsid w:val="00E74709"/>
    <w:rsid w:val="00E7545A"/>
    <w:rsid w:val="00E75672"/>
    <w:rsid w:val="00E7607D"/>
    <w:rsid w:val="00E76562"/>
    <w:rsid w:val="00E80D1D"/>
    <w:rsid w:val="00E81898"/>
    <w:rsid w:val="00E84EF5"/>
    <w:rsid w:val="00E86EDA"/>
    <w:rsid w:val="00E86F2C"/>
    <w:rsid w:val="00E874E9"/>
    <w:rsid w:val="00E87A20"/>
    <w:rsid w:val="00E91F21"/>
    <w:rsid w:val="00E9216A"/>
    <w:rsid w:val="00E95A31"/>
    <w:rsid w:val="00E97C18"/>
    <w:rsid w:val="00EA2140"/>
    <w:rsid w:val="00EA3599"/>
    <w:rsid w:val="00EB11B2"/>
    <w:rsid w:val="00EB49C5"/>
    <w:rsid w:val="00EB5C66"/>
    <w:rsid w:val="00EB6438"/>
    <w:rsid w:val="00EC1A75"/>
    <w:rsid w:val="00EC2A54"/>
    <w:rsid w:val="00EC58D6"/>
    <w:rsid w:val="00EC6493"/>
    <w:rsid w:val="00EC6CF2"/>
    <w:rsid w:val="00EC7E6E"/>
    <w:rsid w:val="00ED43E4"/>
    <w:rsid w:val="00EE10A5"/>
    <w:rsid w:val="00EE2785"/>
    <w:rsid w:val="00EE6FB7"/>
    <w:rsid w:val="00EF2658"/>
    <w:rsid w:val="00EF2FC4"/>
    <w:rsid w:val="00EF5166"/>
    <w:rsid w:val="00EF6B4F"/>
    <w:rsid w:val="00F00610"/>
    <w:rsid w:val="00F02D9E"/>
    <w:rsid w:val="00F03165"/>
    <w:rsid w:val="00F04753"/>
    <w:rsid w:val="00F0512B"/>
    <w:rsid w:val="00F07262"/>
    <w:rsid w:val="00F101AD"/>
    <w:rsid w:val="00F1085F"/>
    <w:rsid w:val="00F205C7"/>
    <w:rsid w:val="00F2217B"/>
    <w:rsid w:val="00F22A8E"/>
    <w:rsid w:val="00F22D20"/>
    <w:rsid w:val="00F23279"/>
    <w:rsid w:val="00F2400C"/>
    <w:rsid w:val="00F2489F"/>
    <w:rsid w:val="00F27CD9"/>
    <w:rsid w:val="00F30A99"/>
    <w:rsid w:val="00F31BC3"/>
    <w:rsid w:val="00F344CC"/>
    <w:rsid w:val="00F35AC7"/>
    <w:rsid w:val="00F407A2"/>
    <w:rsid w:val="00F40814"/>
    <w:rsid w:val="00F41DCC"/>
    <w:rsid w:val="00F424DC"/>
    <w:rsid w:val="00F42A6C"/>
    <w:rsid w:val="00F4344F"/>
    <w:rsid w:val="00F445DD"/>
    <w:rsid w:val="00F46FC1"/>
    <w:rsid w:val="00F50DCA"/>
    <w:rsid w:val="00F51AB4"/>
    <w:rsid w:val="00F52F31"/>
    <w:rsid w:val="00F53367"/>
    <w:rsid w:val="00F55AEE"/>
    <w:rsid w:val="00F55DE8"/>
    <w:rsid w:val="00F57CA5"/>
    <w:rsid w:val="00F6082F"/>
    <w:rsid w:val="00F62185"/>
    <w:rsid w:val="00F64B54"/>
    <w:rsid w:val="00F65540"/>
    <w:rsid w:val="00F6683C"/>
    <w:rsid w:val="00F675EE"/>
    <w:rsid w:val="00F70143"/>
    <w:rsid w:val="00F7067B"/>
    <w:rsid w:val="00F7163A"/>
    <w:rsid w:val="00F74012"/>
    <w:rsid w:val="00F7479A"/>
    <w:rsid w:val="00F74934"/>
    <w:rsid w:val="00F76965"/>
    <w:rsid w:val="00F77166"/>
    <w:rsid w:val="00F803FF"/>
    <w:rsid w:val="00F82D7C"/>
    <w:rsid w:val="00F83955"/>
    <w:rsid w:val="00F866E4"/>
    <w:rsid w:val="00F86B07"/>
    <w:rsid w:val="00F87EAF"/>
    <w:rsid w:val="00F9014C"/>
    <w:rsid w:val="00F94B9F"/>
    <w:rsid w:val="00FA1CBD"/>
    <w:rsid w:val="00FA3348"/>
    <w:rsid w:val="00FA54B8"/>
    <w:rsid w:val="00FA6122"/>
    <w:rsid w:val="00FA6BD1"/>
    <w:rsid w:val="00FA6D0F"/>
    <w:rsid w:val="00FA6D1D"/>
    <w:rsid w:val="00FB03B8"/>
    <w:rsid w:val="00FB1F58"/>
    <w:rsid w:val="00FB3594"/>
    <w:rsid w:val="00FB583C"/>
    <w:rsid w:val="00FB59CB"/>
    <w:rsid w:val="00FB627F"/>
    <w:rsid w:val="00FB7674"/>
    <w:rsid w:val="00FC0A00"/>
    <w:rsid w:val="00FC10D7"/>
    <w:rsid w:val="00FC1278"/>
    <w:rsid w:val="00FC7F0D"/>
    <w:rsid w:val="00FC7F71"/>
    <w:rsid w:val="00FE0117"/>
    <w:rsid w:val="00FE1014"/>
    <w:rsid w:val="00FE4386"/>
    <w:rsid w:val="00FE438C"/>
    <w:rsid w:val="00FE51B6"/>
    <w:rsid w:val="00FF02F2"/>
    <w:rsid w:val="00FF0F3C"/>
    <w:rsid w:val="00FF184D"/>
    <w:rsid w:val="00FF1A03"/>
    <w:rsid w:val="00FF55BF"/>
    <w:rsid w:val="00FF6103"/>
    <w:rsid w:val="07549D06"/>
    <w:rsid w:val="076D15BE"/>
    <w:rsid w:val="0ADB465E"/>
    <w:rsid w:val="12BD25A5"/>
    <w:rsid w:val="12DF23C7"/>
    <w:rsid w:val="18F05151"/>
    <w:rsid w:val="1C13B6E9"/>
    <w:rsid w:val="1CCAB65E"/>
    <w:rsid w:val="2BA3E56B"/>
    <w:rsid w:val="2BA6B9FC"/>
    <w:rsid w:val="2C408B51"/>
    <w:rsid w:val="2C614C84"/>
    <w:rsid w:val="2DD8FE81"/>
    <w:rsid w:val="2E9DF861"/>
    <w:rsid w:val="32928EBE"/>
    <w:rsid w:val="3491061B"/>
    <w:rsid w:val="3DA3F543"/>
    <w:rsid w:val="3F0B5110"/>
    <w:rsid w:val="487F9F1A"/>
    <w:rsid w:val="498BD577"/>
    <w:rsid w:val="4ADE1C29"/>
    <w:rsid w:val="4CF02DC3"/>
    <w:rsid w:val="500F9934"/>
    <w:rsid w:val="501DEDD9"/>
    <w:rsid w:val="5043AE75"/>
    <w:rsid w:val="522E4463"/>
    <w:rsid w:val="55F9B446"/>
    <w:rsid w:val="5736D93B"/>
    <w:rsid w:val="5CD86A0E"/>
    <w:rsid w:val="5D693FAE"/>
    <w:rsid w:val="5EDE59C2"/>
    <w:rsid w:val="6080BC70"/>
    <w:rsid w:val="61596854"/>
    <w:rsid w:val="62137E53"/>
    <w:rsid w:val="65451952"/>
    <w:rsid w:val="66523AF1"/>
    <w:rsid w:val="668FC469"/>
    <w:rsid w:val="68924D24"/>
    <w:rsid w:val="6947043A"/>
    <w:rsid w:val="6A128635"/>
    <w:rsid w:val="6A3075BF"/>
    <w:rsid w:val="6B659FE1"/>
    <w:rsid w:val="6C7C1969"/>
    <w:rsid w:val="6FDFE907"/>
    <w:rsid w:val="706AFD3C"/>
    <w:rsid w:val="70B4C51B"/>
    <w:rsid w:val="730903DC"/>
    <w:rsid w:val="76AED0B8"/>
    <w:rsid w:val="76CA1286"/>
    <w:rsid w:val="776C8748"/>
    <w:rsid w:val="78479433"/>
    <w:rsid w:val="78933DC9"/>
    <w:rsid w:val="7C2038B2"/>
    <w:rsid w:val="7F5EC97C"/>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5ABD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AC9"/>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691B5B"/>
    <w:pPr>
      <w:keepNext/>
      <w:keepLines/>
      <w:numPr>
        <w:numId w:val="18"/>
      </w:numPr>
      <w:spacing w:before="480" w:after="0"/>
      <w:outlineLvl w:val="0"/>
    </w:pPr>
    <w:rPr>
      <w:rFonts w:eastAsiaTheme="majorEastAsia" w:cstheme="majorBidi"/>
      <w:b/>
      <w:bCs/>
      <w:szCs w:val="28"/>
      <w:lang w:val="de-DE"/>
    </w:rPr>
  </w:style>
  <w:style w:type="paragraph" w:styleId="Heading2">
    <w:name w:val="heading 2"/>
    <w:basedOn w:val="Heading1"/>
    <w:next w:val="Normal"/>
    <w:link w:val="Heading2Char"/>
    <w:uiPriority w:val="9"/>
    <w:unhideWhenUsed/>
    <w:qFormat/>
    <w:rsid w:val="004603C9"/>
    <w:pPr>
      <w:numPr>
        <w:ilvl w:val="1"/>
        <w:numId w:val="22"/>
      </w:numPr>
      <w:outlineLvl w:val="1"/>
    </w:pPr>
    <w:rPr>
      <w:rFonts w:cs="Times New Roman"/>
      <w:szCs w:val="24"/>
    </w:rPr>
  </w:style>
  <w:style w:type="paragraph" w:styleId="Heading3">
    <w:name w:val="heading 3"/>
    <w:basedOn w:val="Normal"/>
    <w:next w:val="Normal"/>
    <w:link w:val="Heading3Char"/>
    <w:uiPriority w:val="9"/>
    <w:unhideWhenUsed/>
    <w:qFormat/>
    <w:rsid w:val="00AF60AC"/>
    <w:pPr>
      <w:keepNext/>
      <w:keepLines/>
      <w:spacing w:before="200" w:after="0" w:line="276" w:lineRule="auto"/>
      <w:outlineLvl w:val="2"/>
    </w:pPr>
    <w:rPr>
      <w:rFonts w:ascii="Verdana" w:eastAsiaTheme="majorEastAsia" w:hAnsi="Verdana" w:cstheme="majorBidi"/>
      <w:b/>
      <w:bCs/>
      <w:sz w:val="22"/>
      <w:lang w:val="de-DE"/>
    </w:rPr>
  </w:style>
  <w:style w:type="paragraph" w:styleId="Heading4">
    <w:name w:val="heading 4"/>
    <w:basedOn w:val="Normal"/>
    <w:next w:val="Normal"/>
    <w:link w:val="Heading4Char"/>
    <w:uiPriority w:val="9"/>
    <w:unhideWhenUsed/>
    <w:qFormat/>
    <w:rsid w:val="00AF60AC"/>
    <w:pPr>
      <w:keepNext/>
      <w:keepLines/>
      <w:spacing w:before="200" w:after="0" w:line="276" w:lineRule="auto"/>
      <w:outlineLvl w:val="3"/>
    </w:pPr>
    <w:rPr>
      <w:rFonts w:ascii="Verdana" w:eastAsiaTheme="majorEastAsia" w:hAnsi="Verdana" w:cstheme="majorBidi"/>
      <w:b/>
      <w:bCs/>
      <w:i/>
      <w:iCs/>
      <w:sz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B7AC9"/>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B7AC9"/>
    <w:rPr>
      <w:rFonts w:ascii="Times New Roman" w:hAnsi="Times New Roman"/>
      <w:sz w:val="20"/>
      <w:szCs w:val="20"/>
    </w:rPr>
  </w:style>
  <w:style w:type="character" w:styleId="FootnoteReference">
    <w:name w:val="footnote reference"/>
    <w:basedOn w:val="DefaultParagraphFont"/>
    <w:link w:val="Char2"/>
    <w:uiPriority w:val="99"/>
    <w:unhideWhenUsed/>
    <w:qFormat/>
    <w:rsid w:val="008B7AC9"/>
    <w:rPr>
      <w:vertAlign w:val="superscript"/>
    </w:rPr>
  </w:style>
  <w:style w:type="paragraph" w:customStyle="1" w:styleId="Char2">
    <w:name w:val="Char2"/>
    <w:basedOn w:val="Normal"/>
    <w:link w:val="FootnoteReference"/>
    <w:uiPriority w:val="99"/>
    <w:qFormat/>
    <w:rsid w:val="008B7AC9"/>
    <w:pPr>
      <w:spacing w:line="240" w:lineRule="exact"/>
    </w:pPr>
    <w:rPr>
      <w:rFonts w:asciiTheme="minorHAnsi" w:hAnsiTheme="minorHAnsi"/>
      <w:sz w:val="22"/>
      <w:vertAlign w:val="superscript"/>
    </w:rPr>
  </w:style>
  <w:style w:type="paragraph" w:styleId="BalloonText">
    <w:name w:val="Balloon Text"/>
    <w:basedOn w:val="Normal"/>
    <w:link w:val="BalloonTextChar"/>
    <w:uiPriority w:val="99"/>
    <w:semiHidden/>
    <w:unhideWhenUsed/>
    <w:rsid w:val="00AF6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0AC"/>
    <w:rPr>
      <w:rFonts w:ascii="Segoe UI" w:hAnsi="Segoe UI" w:cs="Segoe UI"/>
      <w:sz w:val="18"/>
      <w:szCs w:val="18"/>
    </w:rPr>
  </w:style>
  <w:style w:type="character" w:customStyle="1" w:styleId="Heading1Char">
    <w:name w:val="Heading 1 Char"/>
    <w:basedOn w:val="DefaultParagraphFont"/>
    <w:link w:val="Heading1"/>
    <w:uiPriority w:val="9"/>
    <w:rsid w:val="00691B5B"/>
    <w:rPr>
      <w:rFonts w:ascii="Times New Roman" w:eastAsiaTheme="majorEastAsia" w:hAnsi="Times New Roman" w:cstheme="majorBidi"/>
      <w:b/>
      <w:bCs/>
      <w:sz w:val="24"/>
      <w:szCs w:val="28"/>
      <w:lang w:val="de-DE"/>
    </w:rPr>
  </w:style>
  <w:style w:type="character" w:customStyle="1" w:styleId="Heading2Char">
    <w:name w:val="Heading 2 Char"/>
    <w:basedOn w:val="DefaultParagraphFont"/>
    <w:link w:val="Heading2"/>
    <w:uiPriority w:val="9"/>
    <w:rsid w:val="002A4AC6"/>
    <w:rPr>
      <w:rFonts w:ascii="Times New Roman" w:eastAsiaTheme="majorEastAsia" w:hAnsi="Times New Roman" w:cs="Times New Roman"/>
      <w:b/>
      <w:bCs/>
      <w:sz w:val="24"/>
      <w:szCs w:val="24"/>
      <w:lang w:val="de-DE"/>
    </w:rPr>
  </w:style>
  <w:style w:type="character" w:customStyle="1" w:styleId="Heading3Char">
    <w:name w:val="Heading 3 Char"/>
    <w:basedOn w:val="DefaultParagraphFont"/>
    <w:link w:val="Heading3"/>
    <w:uiPriority w:val="9"/>
    <w:rsid w:val="00AF60AC"/>
    <w:rPr>
      <w:rFonts w:ascii="Verdana" w:eastAsiaTheme="majorEastAsia" w:hAnsi="Verdana" w:cstheme="majorBidi"/>
      <w:b/>
      <w:bCs/>
      <w:lang w:val="de-DE"/>
    </w:rPr>
  </w:style>
  <w:style w:type="character" w:customStyle="1" w:styleId="Heading4Char">
    <w:name w:val="Heading 4 Char"/>
    <w:basedOn w:val="DefaultParagraphFont"/>
    <w:link w:val="Heading4"/>
    <w:uiPriority w:val="9"/>
    <w:rsid w:val="00AF60AC"/>
    <w:rPr>
      <w:rFonts w:ascii="Verdana" w:eastAsiaTheme="majorEastAsia" w:hAnsi="Verdana" w:cstheme="majorBidi"/>
      <w:b/>
      <w:bCs/>
      <w:i/>
      <w:iCs/>
      <w:lang w:val="de-DE"/>
    </w:rPr>
  </w:style>
  <w:style w:type="paragraph" w:styleId="ListParagraph">
    <w:name w:val="List Paragraph"/>
    <w:basedOn w:val="Normal"/>
    <w:uiPriority w:val="34"/>
    <w:qFormat/>
    <w:rsid w:val="00AF60AC"/>
    <w:pPr>
      <w:spacing w:after="200" w:line="276" w:lineRule="auto"/>
      <w:ind w:left="720"/>
      <w:contextualSpacing/>
    </w:pPr>
    <w:rPr>
      <w:rFonts w:ascii="Verdana" w:hAnsi="Verdana"/>
      <w:sz w:val="22"/>
      <w:lang w:val="de-DE"/>
    </w:rPr>
  </w:style>
  <w:style w:type="character" w:styleId="Hyperlink">
    <w:name w:val="Hyperlink"/>
    <w:basedOn w:val="DefaultParagraphFont"/>
    <w:uiPriority w:val="99"/>
    <w:unhideWhenUsed/>
    <w:rsid w:val="00AF60AC"/>
    <w:rPr>
      <w:color w:val="0563C1" w:themeColor="hyperlink"/>
      <w:u w:val="single"/>
    </w:rPr>
  </w:style>
  <w:style w:type="paragraph" w:styleId="HTMLPreformatted">
    <w:name w:val="HTML Preformatted"/>
    <w:basedOn w:val="Normal"/>
    <w:link w:val="HTMLPreformattedChar"/>
    <w:uiPriority w:val="99"/>
    <w:unhideWhenUsed/>
    <w:rsid w:val="00AF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AF60AC"/>
    <w:rPr>
      <w:rFonts w:ascii="Courier New" w:eastAsia="Times New Roman" w:hAnsi="Courier New" w:cs="Courier New"/>
      <w:sz w:val="20"/>
      <w:szCs w:val="20"/>
      <w:lang w:val="de-DE" w:eastAsia="de-DE"/>
    </w:rPr>
  </w:style>
  <w:style w:type="paragraph" w:customStyle="1" w:styleId="Default">
    <w:name w:val="Default"/>
    <w:rsid w:val="00AF60AC"/>
    <w:pPr>
      <w:autoSpaceDE w:val="0"/>
      <w:autoSpaceDN w:val="0"/>
      <w:adjustRightInd w:val="0"/>
      <w:spacing w:after="0" w:line="240" w:lineRule="auto"/>
    </w:pPr>
    <w:rPr>
      <w:rFonts w:ascii="Calibri" w:eastAsia="Times New Roman" w:hAnsi="Calibri" w:cs="Calibri"/>
      <w:color w:val="000000"/>
      <w:sz w:val="24"/>
      <w:szCs w:val="24"/>
      <w:lang w:val="fi-FI" w:eastAsia="fi-FI"/>
    </w:rPr>
  </w:style>
  <w:style w:type="paragraph" w:styleId="Header">
    <w:name w:val="header"/>
    <w:basedOn w:val="Normal"/>
    <w:link w:val="HeaderChar"/>
    <w:uiPriority w:val="99"/>
    <w:unhideWhenUsed/>
    <w:rsid w:val="00AF60AC"/>
    <w:pPr>
      <w:tabs>
        <w:tab w:val="center" w:pos="4536"/>
        <w:tab w:val="right" w:pos="9072"/>
      </w:tabs>
      <w:spacing w:after="0" w:line="240" w:lineRule="auto"/>
    </w:pPr>
    <w:rPr>
      <w:rFonts w:ascii="Verdana" w:hAnsi="Verdana"/>
      <w:sz w:val="22"/>
      <w:lang w:val="de-DE"/>
    </w:rPr>
  </w:style>
  <w:style w:type="character" w:customStyle="1" w:styleId="HeaderChar">
    <w:name w:val="Header Char"/>
    <w:basedOn w:val="DefaultParagraphFont"/>
    <w:link w:val="Header"/>
    <w:uiPriority w:val="99"/>
    <w:rsid w:val="00AF60AC"/>
    <w:rPr>
      <w:rFonts w:ascii="Verdana" w:hAnsi="Verdana"/>
      <w:lang w:val="de-DE"/>
    </w:rPr>
  </w:style>
  <w:style w:type="paragraph" w:styleId="Footer">
    <w:name w:val="footer"/>
    <w:basedOn w:val="Normal"/>
    <w:link w:val="FooterChar"/>
    <w:uiPriority w:val="99"/>
    <w:unhideWhenUsed/>
    <w:rsid w:val="00AF60AC"/>
    <w:pPr>
      <w:tabs>
        <w:tab w:val="center" w:pos="4536"/>
        <w:tab w:val="right" w:pos="9072"/>
      </w:tabs>
      <w:spacing w:after="0" w:line="240" w:lineRule="auto"/>
    </w:pPr>
    <w:rPr>
      <w:rFonts w:ascii="Verdana" w:hAnsi="Verdana"/>
      <w:sz w:val="22"/>
      <w:lang w:val="de-DE"/>
    </w:rPr>
  </w:style>
  <w:style w:type="character" w:customStyle="1" w:styleId="FooterChar">
    <w:name w:val="Footer Char"/>
    <w:basedOn w:val="DefaultParagraphFont"/>
    <w:link w:val="Footer"/>
    <w:uiPriority w:val="99"/>
    <w:rsid w:val="00AF60AC"/>
    <w:rPr>
      <w:rFonts w:ascii="Verdana" w:hAnsi="Verdana"/>
      <w:lang w:val="de-DE"/>
    </w:rPr>
  </w:style>
  <w:style w:type="character" w:styleId="CommentReference">
    <w:name w:val="annotation reference"/>
    <w:basedOn w:val="DefaultParagraphFont"/>
    <w:uiPriority w:val="99"/>
    <w:semiHidden/>
    <w:unhideWhenUsed/>
    <w:rsid w:val="00AF60AC"/>
    <w:rPr>
      <w:sz w:val="16"/>
      <w:szCs w:val="16"/>
    </w:rPr>
  </w:style>
  <w:style w:type="paragraph" w:styleId="CommentText">
    <w:name w:val="annotation text"/>
    <w:basedOn w:val="Normal"/>
    <w:link w:val="CommentTextChar"/>
    <w:uiPriority w:val="99"/>
    <w:unhideWhenUsed/>
    <w:rsid w:val="0087523B"/>
    <w:pPr>
      <w:spacing w:line="240" w:lineRule="auto"/>
    </w:pPr>
    <w:rPr>
      <w:sz w:val="20"/>
      <w:szCs w:val="20"/>
    </w:rPr>
  </w:style>
  <w:style w:type="character" w:customStyle="1" w:styleId="CommentTextChar">
    <w:name w:val="Comment Text Char"/>
    <w:basedOn w:val="DefaultParagraphFont"/>
    <w:link w:val="CommentText"/>
    <w:uiPriority w:val="99"/>
    <w:rsid w:val="00AF60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F60AC"/>
    <w:rPr>
      <w:b/>
      <w:bCs/>
    </w:rPr>
  </w:style>
  <w:style w:type="character" w:customStyle="1" w:styleId="CommentSubjectChar">
    <w:name w:val="Comment Subject Char"/>
    <w:basedOn w:val="CommentTextChar"/>
    <w:link w:val="CommentSubject"/>
    <w:uiPriority w:val="99"/>
    <w:semiHidden/>
    <w:rsid w:val="00AF60AC"/>
    <w:rPr>
      <w:rFonts w:ascii="Verdana" w:hAnsi="Verdana"/>
      <w:b/>
      <w:bCs/>
      <w:sz w:val="20"/>
      <w:szCs w:val="20"/>
      <w:lang w:val="de-DE"/>
    </w:rPr>
  </w:style>
  <w:style w:type="character" w:styleId="Strong">
    <w:name w:val="Strong"/>
    <w:basedOn w:val="DefaultParagraphFont"/>
    <w:uiPriority w:val="22"/>
    <w:qFormat/>
    <w:rsid w:val="00AF60AC"/>
    <w:rPr>
      <w:b/>
      <w:bCs/>
    </w:rPr>
  </w:style>
  <w:style w:type="paragraph" w:styleId="TOCHeading">
    <w:name w:val="TOC Heading"/>
    <w:basedOn w:val="Heading1"/>
    <w:next w:val="Normal"/>
    <w:uiPriority w:val="39"/>
    <w:unhideWhenUsed/>
    <w:qFormat/>
    <w:rsid w:val="00AF60AC"/>
    <w:pPr>
      <w:outlineLvl w:val="9"/>
    </w:pPr>
    <w:rPr>
      <w:rFonts w:asciiTheme="majorHAnsi" w:hAnsiTheme="majorHAnsi"/>
      <w:color w:val="2F5496" w:themeColor="accent1" w:themeShade="BF"/>
      <w:lang w:val="en-US" w:eastAsia="ja-JP"/>
    </w:rPr>
  </w:style>
  <w:style w:type="paragraph" w:styleId="TOC1">
    <w:name w:val="toc 1"/>
    <w:basedOn w:val="Normal"/>
    <w:next w:val="Normal"/>
    <w:autoRedefine/>
    <w:uiPriority w:val="39"/>
    <w:unhideWhenUsed/>
    <w:rsid w:val="00AF60AC"/>
    <w:pPr>
      <w:spacing w:after="100" w:line="276" w:lineRule="auto"/>
    </w:pPr>
    <w:rPr>
      <w:rFonts w:ascii="Verdana" w:hAnsi="Verdana"/>
      <w:sz w:val="22"/>
      <w:lang w:val="de-DE"/>
    </w:rPr>
  </w:style>
  <w:style w:type="paragraph" w:styleId="TOC2">
    <w:name w:val="toc 2"/>
    <w:basedOn w:val="Normal"/>
    <w:next w:val="Normal"/>
    <w:autoRedefine/>
    <w:uiPriority w:val="39"/>
    <w:unhideWhenUsed/>
    <w:rsid w:val="00AF60AC"/>
    <w:pPr>
      <w:spacing w:after="100" w:line="276" w:lineRule="auto"/>
      <w:ind w:left="220"/>
    </w:pPr>
    <w:rPr>
      <w:rFonts w:ascii="Verdana" w:hAnsi="Verdana"/>
      <w:sz w:val="22"/>
      <w:lang w:val="de-DE"/>
    </w:rPr>
  </w:style>
  <w:style w:type="paragraph" w:styleId="TOC3">
    <w:name w:val="toc 3"/>
    <w:basedOn w:val="Normal"/>
    <w:next w:val="Normal"/>
    <w:autoRedefine/>
    <w:uiPriority w:val="39"/>
    <w:unhideWhenUsed/>
    <w:rsid w:val="00AF60AC"/>
    <w:pPr>
      <w:spacing w:after="100" w:line="276" w:lineRule="auto"/>
      <w:ind w:left="440"/>
    </w:pPr>
    <w:rPr>
      <w:rFonts w:ascii="Verdana" w:hAnsi="Verdana"/>
      <w:sz w:val="22"/>
      <w:lang w:val="de-DE"/>
    </w:rPr>
  </w:style>
  <w:style w:type="paragraph" w:styleId="EndnoteText">
    <w:name w:val="endnote text"/>
    <w:basedOn w:val="Normal"/>
    <w:link w:val="EndnoteTextChar"/>
    <w:uiPriority w:val="99"/>
    <w:semiHidden/>
    <w:unhideWhenUsed/>
    <w:rsid w:val="00AF60AC"/>
    <w:pPr>
      <w:spacing w:after="0" w:line="240" w:lineRule="auto"/>
    </w:pPr>
    <w:rPr>
      <w:rFonts w:ascii="Verdana" w:hAnsi="Verdana"/>
      <w:sz w:val="20"/>
      <w:szCs w:val="20"/>
      <w:lang w:val="de-DE"/>
    </w:rPr>
  </w:style>
  <w:style w:type="character" w:customStyle="1" w:styleId="EndnoteTextChar">
    <w:name w:val="Endnote Text Char"/>
    <w:basedOn w:val="DefaultParagraphFont"/>
    <w:link w:val="EndnoteText"/>
    <w:uiPriority w:val="99"/>
    <w:semiHidden/>
    <w:rsid w:val="00AF60AC"/>
    <w:rPr>
      <w:rFonts w:ascii="Verdana" w:hAnsi="Verdana"/>
      <w:sz w:val="20"/>
      <w:szCs w:val="20"/>
      <w:lang w:val="de-DE"/>
    </w:rPr>
  </w:style>
  <w:style w:type="character" w:customStyle="1" w:styleId="link-fake">
    <w:name w:val="link-fake"/>
    <w:basedOn w:val="DefaultParagraphFont"/>
    <w:rsid w:val="00AF60AC"/>
  </w:style>
  <w:style w:type="paragraph" w:styleId="Title">
    <w:name w:val="Title"/>
    <w:basedOn w:val="Normal"/>
    <w:next w:val="Normal"/>
    <w:link w:val="TitleChar"/>
    <w:uiPriority w:val="10"/>
    <w:qFormat/>
    <w:rsid w:val="00AF60AC"/>
    <w:pPr>
      <w:spacing w:before="480" w:after="0" w:line="276" w:lineRule="auto"/>
      <w:contextualSpacing/>
      <w:jc w:val="center"/>
    </w:pPr>
    <w:rPr>
      <w:rFonts w:ascii="Verdana" w:eastAsiaTheme="majorEastAsia" w:hAnsi="Verdana" w:cstheme="majorBidi"/>
      <w:b/>
      <w:spacing w:val="-10"/>
      <w:kern w:val="28"/>
      <w:sz w:val="28"/>
      <w:szCs w:val="28"/>
      <w:shd w:val="clear" w:color="auto" w:fill="FFFFFF"/>
    </w:rPr>
  </w:style>
  <w:style w:type="character" w:customStyle="1" w:styleId="TitleChar">
    <w:name w:val="Title Char"/>
    <w:basedOn w:val="DefaultParagraphFont"/>
    <w:link w:val="Title"/>
    <w:uiPriority w:val="10"/>
    <w:rsid w:val="00AF60AC"/>
    <w:rPr>
      <w:rFonts w:ascii="Verdana" w:eastAsiaTheme="majorEastAsia" w:hAnsi="Verdana" w:cstheme="majorBidi"/>
      <w:b/>
      <w:spacing w:val="-10"/>
      <w:kern w:val="28"/>
      <w:sz w:val="28"/>
      <w:szCs w:val="28"/>
    </w:rPr>
  </w:style>
  <w:style w:type="paragraph" w:styleId="NoSpacing">
    <w:name w:val="No Spacing"/>
    <w:uiPriority w:val="1"/>
    <w:qFormat/>
    <w:rsid w:val="00AF60AC"/>
    <w:pPr>
      <w:spacing w:after="0" w:line="240" w:lineRule="auto"/>
    </w:pPr>
    <w:rPr>
      <w:rFonts w:ascii="Verdana" w:hAnsi="Verdana"/>
      <w:lang w:val="de-DE"/>
    </w:rPr>
  </w:style>
  <w:style w:type="paragraph" w:styleId="Caption">
    <w:name w:val="caption"/>
    <w:basedOn w:val="Normal"/>
    <w:next w:val="Normal"/>
    <w:uiPriority w:val="35"/>
    <w:unhideWhenUsed/>
    <w:qFormat/>
    <w:rsid w:val="008371FB"/>
    <w:pPr>
      <w:spacing w:after="200" w:line="240" w:lineRule="auto"/>
    </w:pPr>
    <w:rPr>
      <w:rFonts w:cs="Times New Roman"/>
      <w:i/>
      <w:iCs/>
      <w:color w:val="000000" w:themeColor="text1"/>
      <w:szCs w:val="24"/>
    </w:rPr>
  </w:style>
  <w:style w:type="paragraph" w:styleId="TableofFigures">
    <w:name w:val="table of figures"/>
    <w:basedOn w:val="Normal"/>
    <w:next w:val="Normal"/>
    <w:uiPriority w:val="99"/>
    <w:unhideWhenUsed/>
    <w:rsid w:val="00AF60AC"/>
    <w:pPr>
      <w:spacing w:after="0" w:line="276" w:lineRule="auto"/>
    </w:pPr>
    <w:rPr>
      <w:rFonts w:ascii="Verdana" w:hAnsi="Verdana"/>
      <w:sz w:val="22"/>
      <w:lang w:val="de-DE"/>
    </w:rPr>
  </w:style>
  <w:style w:type="paragraph" w:customStyle="1" w:styleId="paragraph">
    <w:name w:val="paragraph"/>
    <w:basedOn w:val="Normal"/>
    <w:rsid w:val="00AF60AC"/>
    <w:pPr>
      <w:spacing w:before="100" w:beforeAutospacing="1" w:after="100" w:afterAutospacing="1" w:line="240" w:lineRule="auto"/>
    </w:pPr>
    <w:rPr>
      <w:rFonts w:eastAsia="Times New Roman" w:cs="Times New Roman"/>
      <w:szCs w:val="24"/>
      <w:lang w:eastAsia="en-GB"/>
    </w:rPr>
  </w:style>
  <w:style w:type="character" w:customStyle="1" w:styleId="normaltextrun">
    <w:name w:val="normaltextrun"/>
    <w:basedOn w:val="DefaultParagraphFont"/>
    <w:rsid w:val="00AF60AC"/>
  </w:style>
  <w:style w:type="character" w:customStyle="1" w:styleId="eop">
    <w:name w:val="eop"/>
    <w:basedOn w:val="DefaultParagraphFont"/>
    <w:rsid w:val="00AF60AC"/>
  </w:style>
  <w:style w:type="paragraph" w:styleId="Bibliography">
    <w:name w:val="Bibliography"/>
    <w:basedOn w:val="Normal"/>
    <w:next w:val="Normal"/>
    <w:uiPriority w:val="37"/>
    <w:unhideWhenUsed/>
    <w:rsid w:val="00AF60AC"/>
    <w:pPr>
      <w:spacing w:after="0"/>
      <w:ind w:left="720" w:hanging="720"/>
    </w:pPr>
    <w:rPr>
      <w:rFonts w:ascii="Verdana" w:hAnsi="Verdana"/>
      <w:sz w:val="22"/>
      <w:lang w:val="de-DE"/>
    </w:rPr>
  </w:style>
  <w:style w:type="character" w:styleId="FollowedHyperlink">
    <w:name w:val="FollowedHyperlink"/>
    <w:basedOn w:val="DefaultParagraphFont"/>
    <w:uiPriority w:val="99"/>
    <w:semiHidden/>
    <w:unhideWhenUsed/>
    <w:rsid w:val="00836F2E"/>
    <w:rPr>
      <w:color w:val="954F72" w:themeColor="followedHyperlink"/>
      <w:u w:val="single"/>
    </w:rPr>
  </w:style>
  <w:style w:type="character" w:styleId="UnresolvedMention">
    <w:name w:val="Unresolved Mention"/>
    <w:basedOn w:val="DefaultParagraphFont"/>
    <w:uiPriority w:val="99"/>
    <w:unhideWhenUsed/>
    <w:rsid w:val="00574B8D"/>
    <w:rPr>
      <w:color w:val="605E5C"/>
      <w:shd w:val="clear" w:color="auto" w:fill="E1DFDD"/>
    </w:rPr>
  </w:style>
  <w:style w:type="paragraph" w:styleId="Revision">
    <w:name w:val="Revision"/>
    <w:hidden/>
    <w:uiPriority w:val="99"/>
    <w:semiHidden/>
    <w:rsid w:val="00B72D49"/>
    <w:pPr>
      <w:spacing w:after="0" w:line="240" w:lineRule="auto"/>
    </w:pPr>
    <w:rPr>
      <w:rFonts w:ascii="Times New Roman" w:hAnsi="Times New Roman"/>
      <w:sz w:val="24"/>
    </w:rPr>
  </w:style>
  <w:style w:type="character" w:styleId="EndnoteReference">
    <w:name w:val="endnote reference"/>
    <w:basedOn w:val="DefaultParagraphFont"/>
    <w:uiPriority w:val="99"/>
    <w:semiHidden/>
    <w:unhideWhenUsed/>
    <w:rsid w:val="00A9203D"/>
    <w:rPr>
      <w:vertAlign w:val="superscript"/>
    </w:rPr>
  </w:style>
  <w:style w:type="character" w:styleId="Emphasis">
    <w:name w:val="Emphasis"/>
    <w:basedOn w:val="DefaultParagraphFont"/>
    <w:uiPriority w:val="20"/>
    <w:qFormat/>
    <w:rsid w:val="002F6EE1"/>
    <w:rPr>
      <w:i/>
      <w:iCs/>
    </w:rPr>
  </w:style>
  <w:style w:type="character" w:styleId="Mention">
    <w:name w:val="Mention"/>
    <w:basedOn w:val="DefaultParagraphFont"/>
    <w:uiPriority w:val="99"/>
    <w:unhideWhenUsed/>
    <w:rsid w:val="002E171D"/>
    <w:rPr>
      <w:color w:val="2B579A"/>
      <w:shd w:val="clear" w:color="auto" w:fill="E1DFDD"/>
    </w:rPr>
  </w:style>
  <w:style w:type="character" w:customStyle="1" w:styleId="bcx0">
    <w:name w:val="bcx0"/>
    <w:basedOn w:val="DefaultParagraphFont"/>
    <w:rsid w:val="00A96E43"/>
  </w:style>
  <w:style w:type="character" w:styleId="LineNumber">
    <w:name w:val="line number"/>
    <w:basedOn w:val="DefaultParagraphFont"/>
    <w:uiPriority w:val="99"/>
    <w:semiHidden/>
    <w:unhideWhenUsed/>
    <w:rsid w:val="00595FF1"/>
  </w:style>
  <w:style w:type="character" w:styleId="PageNumber">
    <w:name w:val="page number"/>
    <w:basedOn w:val="DefaultParagraphFont"/>
    <w:uiPriority w:val="99"/>
    <w:semiHidden/>
    <w:unhideWhenUsed/>
    <w:rsid w:val="00D73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8824">
      <w:bodyDiv w:val="1"/>
      <w:marLeft w:val="0"/>
      <w:marRight w:val="0"/>
      <w:marTop w:val="0"/>
      <w:marBottom w:val="0"/>
      <w:divBdr>
        <w:top w:val="none" w:sz="0" w:space="0" w:color="auto"/>
        <w:left w:val="none" w:sz="0" w:space="0" w:color="auto"/>
        <w:bottom w:val="none" w:sz="0" w:space="0" w:color="auto"/>
        <w:right w:val="none" w:sz="0" w:space="0" w:color="auto"/>
      </w:divBdr>
      <w:divsChild>
        <w:div w:id="331107582">
          <w:marLeft w:val="0"/>
          <w:marRight w:val="0"/>
          <w:marTop w:val="0"/>
          <w:marBottom w:val="0"/>
          <w:divBdr>
            <w:top w:val="none" w:sz="0" w:space="0" w:color="auto"/>
            <w:left w:val="none" w:sz="0" w:space="0" w:color="auto"/>
            <w:bottom w:val="none" w:sz="0" w:space="0" w:color="auto"/>
            <w:right w:val="none" w:sz="0" w:space="0" w:color="auto"/>
          </w:divBdr>
        </w:div>
        <w:div w:id="730270470">
          <w:marLeft w:val="0"/>
          <w:marRight w:val="0"/>
          <w:marTop w:val="0"/>
          <w:marBottom w:val="0"/>
          <w:divBdr>
            <w:top w:val="none" w:sz="0" w:space="0" w:color="auto"/>
            <w:left w:val="none" w:sz="0" w:space="0" w:color="auto"/>
            <w:bottom w:val="none" w:sz="0" w:space="0" w:color="auto"/>
            <w:right w:val="none" w:sz="0" w:space="0" w:color="auto"/>
          </w:divBdr>
        </w:div>
        <w:div w:id="1143044248">
          <w:marLeft w:val="0"/>
          <w:marRight w:val="0"/>
          <w:marTop w:val="0"/>
          <w:marBottom w:val="0"/>
          <w:divBdr>
            <w:top w:val="none" w:sz="0" w:space="0" w:color="auto"/>
            <w:left w:val="none" w:sz="0" w:space="0" w:color="auto"/>
            <w:bottom w:val="none" w:sz="0" w:space="0" w:color="auto"/>
            <w:right w:val="none" w:sz="0" w:space="0" w:color="auto"/>
          </w:divBdr>
        </w:div>
        <w:div w:id="1815096086">
          <w:marLeft w:val="0"/>
          <w:marRight w:val="0"/>
          <w:marTop w:val="0"/>
          <w:marBottom w:val="0"/>
          <w:divBdr>
            <w:top w:val="none" w:sz="0" w:space="0" w:color="auto"/>
            <w:left w:val="none" w:sz="0" w:space="0" w:color="auto"/>
            <w:bottom w:val="none" w:sz="0" w:space="0" w:color="auto"/>
            <w:right w:val="none" w:sz="0" w:space="0" w:color="auto"/>
          </w:divBdr>
        </w:div>
        <w:div w:id="1855147591">
          <w:marLeft w:val="0"/>
          <w:marRight w:val="0"/>
          <w:marTop w:val="0"/>
          <w:marBottom w:val="0"/>
          <w:divBdr>
            <w:top w:val="none" w:sz="0" w:space="0" w:color="auto"/>
            <w:left w:val="none" w:sz="0" w:space="0" w:color="auto"/>
            <w:bottom w:val="none" w:sz="0" w:space="0" w:color="auto"/>
            <w:right w:val="none" w:sz="0" w:space="0" w:color="auto"/>
          </w:divBdr>
        </w:div>
      </w:divsChild>
    </w:div>
    <w:div w:id="760371500">
      <w:bodyDiv w:val="1"/>
      <w:marLeft w:val="0"/>
      <w:marRight w:val="0"/>
      <w:marTop w:val="0"/>
      <w:marBottom w:val="0"/>
      <w:divBdr>
        <w:top w:val="none" w:sz="0" w:space="0" w:color="auto"/>
        <w:left w:val="none" w:sz="0" w:space="0" w:color="auto"/>
        <w:bottom w:val="none" w:sz="0" w:space="0" w:color="auto"/>
        <w:right w:val="none" w:sz="0" w:space="0" w:color="auto"/>
      </w:divBdr>
      <w:divsChild>
        <w:div w:id="159736516">
          <w:marLeft w:val="0"/>
          <w:marRight w:val="0"/>
          <w:marTop w:val="0"/>
          <w:marBottom w:val="0"/>
          <w:divBdr>
            <w:top w:val="none" w:sz="0" w:space="0" w:color="auto"/>
            <w:left w:val="none" w:sz="0" w:space="0" w:color="auto"/>
            <w:bottom w:val="none" w:sz="0" w:space="0" w:color="auto"/>
            <w:right w:val="none" w:sz="0" w:space="0" w:color="auto"/>
          </w:divBdr>
        </w:div>
        <w:div w:id="375085582">
          <w:marLeft w:val="0"/>
          <w:marRight w:val="0"/>
          <w:marTop w:val="0"/>
          <w:marBottom w:val="0"/>
          <w:divBdr>
            <w:top w:val="none" w:sz="0" w:space="0" w:color="auto"/>
            <w:left w:val="none" w:sz="0" w:space="0" w:color="auto"/>
            <w:bottom w:val="none" w:sz="0" w:space="0" w:color="auto"/>
            <w:right w:val="none" w:sz="0" w:space="0" w:color="auto"/>
          </w:divBdr>
        </w:div>
        <w:div w:id="896088402">
          <w:marLeft w:val="0"/>
          <w:marRight w:val="0"/>
          <w:marTop w:val="0"/>
          <w:marBottom w:val="0"/>
          <w:divBdr>
            <w:top w:val="none" w:sz="0" w:space="0" w:color="auto"/>
            <w:left w:val="none" w:sz="0" w:space="0" w:color="auto"/>
            <w:bottom w:val="none" w:sz="0" w:space="0" w:color="auto"/>
            <w:right w:val="none" w:sz="0" w:space="0" w:color="auto"/>
          </w:divBdr>
        </w:div>
        <w:div w:id="1514876896">
          <w:marLeft w:val="0"/>
          <w:marRight w:val="0"/>
          <w:marTop w:val="0"/>
          <w:marBottom w:val="0"/>
          <w:divBdr>
            <w:top w:val="none" w:sz="0" w:space="0" w:color="auto"/>
            <w:left w:val="none" w:sz="0" w:space="0" w:color="auto"/>
            <w:bottom w:val="none" w:sz="0" w:space="0" w:color="auto"/>
            <w:right w:val="none" w:sz="0" w:space="0" w:color="auto"/>
          </w:divBdr>
        </w:div>
        <w:div w:id="1519930614">
          <w:marLeft w:val="0"/>
          <w:marRight w:val="0"/>
          <w:marTop w:val="0"/>
          <w:marBottom w:val="0"/>
          <w:divBdr>
            <w:top w:val="none" w:sz="0" w:space="0" w:color="auto"/>
            <w:left w:val="none" w:sz="0" w:space="0" w:color="auto"/>
            <w:bottom w:val="none" w:sz="0" w:space="0" w:color="auto"/>
            <w:right w:val="none" w:sz="0" w:space="0" w:color="auto"/>
          </w:divBdr>
        </w:div>
        <w:div w:id="1663242183">
          <w:marLeft w:val="0"/>
          <w:marRight w:val="0"/>
          <w:marTop w:val="0"/>
          <w:marBottom w:val="0"/>
          <w:divBdr>
            <w:top w:val="none" w:sz="0" w:space="0" w:color="auto"/>
            <w:left w:val="none" w:sz="0" w:space="0" w:color="auto"/>
            <w:bottom w:val="none" w:sz="0" w:space="0" w:color="auto"/>
            <w:right w:val="none" w:sz="0" w:space="0" w:color="auto"/>
          </w:divBdr>
        </w:div>
        <w:div w:id="1849440823">
          <w:marLeft w:val="0"/>
          <w:marRight w:val="0"/>
          <w:marTop w:val="0"/>
          <w:marBottom w:val="0"/>
          <w:divBdr>
            <w:top w:val="none" w:sz="0" w:space="0" w:color="auto"/>
            <w:left w:val="none" w:sz="0" w:space="0" w:color="auto"/>
            <w:bottom w:val="none" w:sz="0" w:space="0" w:color="auto"/>
            <w:right w:val="none" w:sz="0" w:space="0" w:color="auto"/>
          </w:divBdr>
        </w:div>
        <w:div w:id="2141457675">
          <w:marLeft w:val="0"/>
          <w:marRight w:val="0"/>
          <w:marTop w:val="0"/>
          <w:marBottom w:val="0"/>
          <w:divBdr>
            <w:top w:val="none" w:sz="0" w:space="0" w:color="auto"/>
            <w:left w:val="none" w:sz="0" w:space="0" w:color="auto"/>
            <w:bottom w:val="none" w:sz="0" w:space="0" w:color="auto"/>
            <w:right w:val="none" w:sz="0" w:space="0" w:color="auto"/>
          </w:divBdr>
        </w:div>
      </w:divsChild>
    </w:div>
    <w:div w:id="845557755">
      <w:bodyDiv w:val="1"/>
      <w:marLeft w:val="0"/>
      <w:marRight w:val="0"/>
      <w:marTop w:val="0"/>
      <w:marBottom w:val="0"/>
      <w:divBdr>
        <w:top w:val="none" w:sz="0" w:space="0" w:color="auto"/>
        <w:left w:val="none" w:sz="0" w:space="0" w:color="auto"/>
        <w:bottom w:val="none" w:sz="0" w:space="0" w:color="auto"/>
        <w:right w:val="none" w:sz="0" w:space="0" w:color="auto"/>
      </w:divBdr>
      <w:divsChild>
        <w:div w:id="61216750">
          <w:marLeft w:val="0"/>
          <w:marRight w:val="0"/>
          <w:marTop w:val="0"/>
          <w:marBottom w:val="0"/>
          <w:divBdr>
            <w:top w:val="none" w:sz="0" w:space="0" w:color="auto"/>
            <w:left w:val="none" w:sz="0" w:space="0" w:color="auto"/>
            <w:bottom w:val="none" w:sz="0" w:space="0" w:color="auto"/>
            <w:right w:val="none" w:sz="0" w:space="0" w:color="auto"/>
          </w:divBdr>
        </w:div>
        <w:div w:id="103043369">
          <w:marLeft w:val="0"/>
          <w:marRight w:val="0"/>
          <w:marTop w:val="0"/>
          <w:marBottom w:val="0"/>
          <w:divBdr>
            <w:top w:val="none" w:sz="0" w:space="0" w:color="auto"/>
            <w:left w:val="none" w:sz="0" w:space="0" w:color="auto"/>
            <w:bottom w:val="none" w:sz="0" w:space="0" w:color="auto"/>
            <w:right w:val="none" w:sz="0" w:space="0" w:color="auto"/>
          </w:divBdr>
        </w:div>
        <w:div w:id="103499337">
          <w:marLeft w:val="0"/>
          <w:marRight w:val="0"/>
          <w:marTop w:val="0"/>
          <w:marBottom w:val="0"/>
          <w:divBdr>
            <w:top w:val="none" w:sz="0" w:space="0" w:color="auto"/>
            <w:left w:val="none" w:sz="0" w:space="0" w:color="auto"/>
            <w:bottom w:val="none" w:sz="0" w:space="0" w:color="auto"/>
            <w:right w:val="none" w:sz="0" w:space="0" w:color="auto"/>
          </w:divBdr>
        </w:div>
        <w:div w:id="534538295">
          <w:marLeft w:val="0"/>
          <w:marRight w:val="0"/>
          <w:marTop w:val="0"/>
          <w:marBottom w:val="0"/>
          <w:divBdr>
            <w:top w:val="none" w:sz="0" w:space="0" w:color="auto"/>
            <w:left w:val="none" w:sz="0" w:space="0" w:color="auto"/>
            <w:bottom w:val="none" w:sz="0" w:space="0" w:color="auto"/>
            <w:right w:val="none" w:sz="0" w:space="0" w:color="auto"/>
          </w:divBdr>
        </w:div>
        <w:div w:id="599144588">
          <w:marLeft w:val="0"/>
          <w:marRight w:val="0"/>
          <w:marTop w:val="0"/>
          <w:marBottom w:val="0"/>
          <w:divBdr>
            <w:top w:val="none" w:sz="0" w:space="0" w:color="auto"/>
            <w:left w:val="none" w:sz="0" w:space="0" w:color="auto"/>
            <w:bottom w:val="none" w:sz="0" w:space="0" w:color="auto"/>
            <w:right w:val="none" w:sz="0" w:space="0" w:color="auto"/>
          </w:divBdr>
        </w:div>
        <w:div w:id="876819345">
          <w:marLeft w:val="0"/>
          <w:marRight w:val="0"/>
          <w:marTop w:val="0"/>
          <w:marBottom w:val="0"/>
          <w:divBdr>
            <w:top w:val="none" w:sz="0" w:space="0" w:color="auto"/>
            <w:left w:val="none" w:sz="0" w:space="0" w:color="auto"/>
            <w:bottom w:val="none" w:sz="0" w:space="0" w:color="auto"/>
            <w:right w:val="none" w:sz="0" w:space="0" w:color="auto"/>
          </w:divBdr>
        </w:div>
        <w:div w:id="1565530939">
          <w:marLeft w:val="0"/>
          <w:marRight w:val="0"/>
          <w:marTop w:val="0"/>
          <w:marBottom w:val="0"/>
          <w:divBdr>
            <w:top w:val="none" w:sz="0" w:space="0" w:color="auto"/>
            <w:left w:val="none" w:sz="0" w:space="0" w:color="auto"/>
            <w:bottom w:val="none" w:sz="0" w:space="0" w:color="auto"/>
            <w:right w:val="none" w:sz="0" w:space="0" w:color="auto"/>
          </w:divBdr>
        </w:div>
        <w:div w:id="1565531620">
          <w:marLeft w:val="0"/>
          <w:marRight w:val="0"/>
          <w:marTop w:val="0"/>
          <w:marBottom w:val="0"/>
          <w:divBdr>
            <w:top w:val="none" w:sz="0" w:space="0" w:color="auto"/>
            <w:left w:val="none" w:sz="0" w:space="0" w:color="auto"/>
            <w:bottom w:val="none" w:sz="0" w:space="0" w:color="auto"/>
            <w:right w:val="none" w:sz="0" w:space="0" w:color="auto"/>
          </w:divBdr>
        </w:div>
      </w:divsChild>
    </w:div>
    <w:div w:id="1416707363">
      <w:bodyDiv w:val="1"/>
      <w:marLeft w:val="0"/>
      <w:marRight w:val="0"/>
      <w:marTop w:val="0"/>
      <w:marBottom w:val="0"/>
      <w:divBdr>
        <w:top w:val="none" w:sz="0" w:space="0" w:color="auto"/>
        <w:left w:val="none" w:sz="0" w:space="0" w:color="auto"/>
        <w:bottom w:val="none" w:sz="0" w:space="0" w:color="auto"/>
        <w:right w:val="none" w:sz="0" w:space="0" w:color="auto"/>
      </w:divBdr>
    </w:div>
    <w:div w:id="1593129237">
      <w:bodyDiv w:val="1"/>
      <w:marLeft w:val="0"/>
      <w:marRight w:val="0"/>
      <w:marTop w:val="0"/>
      <w:marBottom w:val="0"/>
      <w:divBdr>
        <w:top w:val="none" w:sz="0" w:space="0" w:color="auto"/>
        <w:left w:val="none" w:sz="0" w:space="0" w:color="auto"/>
        <w:bottom w:val="none" w:sz="0" w:space="0" w:color="auto"/>
        <w:right w:val="none" w:sz="0" w:space="0" w:color="auto"/>
      </w:divBdr>
      <w:divsChild>
        <w:div w:id="520122301">
          <w:marLeft w:val="0"/>
          <w:marRight w:val="0"/>
          <w:marTop w:val="0"/>
          <w:marBottom w:val="0"/>
          <w:divBdr>
            <w:top w:val="none" w:sz="0" w:space="0" w:color="auto"/>
            <w:left w:val="none" w:sz="0" w:space="0" w:color="auto"/>
            <w:bottom w:val="none" w:sz="0" w:space="0" w:color="auto"/>
            <w:right w:val="none" w:sz="0" w:space="0" w:color="auto"/>
          </w:divBdr>
          <w:divsChild>
            <w:div w:id="1360742092">
              <w:marLeft w:val="0"/>
              <w:marRight w:val="0"/>
              <w:marTop w:val="0"/>
              <w:marBottom w:val="0"/>
              <w:divBdr>
                <w:top w:val="none" w:sz="0" w:space="0" w:color="auto"/>
                <w:left w:val="none" w:sz="0" w:space="0" w:color="auto"/>
                <w:bottom w:val="none" w:sz="0" w:space="0" w:color="auto"/>
                <w:right w:val="none" w:sz="0" w:space="0" w:color="auto"/>
              </w:divBdr>
              <w:divsChild>
                <w:div w:id="365058592">
                  <w:marLeft w:val="0"/>
                  <w:marRight w:val="0"/>
                  <w:marTop w:val="0"/>
                  <w:marBottom w:val="0"/>
                  <w:divBdr>
                    <w:top w:val="none" w:sz="0" w:space="0" w:color="auto"/>
                    <w:left w:val="none" w:sz="0" w:space="0" w:color="auto"/>
                    <w:bottom w:val="none" w:sz="0" w:space="0" w:color="auto"/>
                    <w:right w:val="none" w:sz="0" w:space="0" w:color="auto"/>
                  </w:divBdr>
                  <w:divsChild>
                    <w:div w:id="868227831">
                      <w:marLeft w:val="0"/>
                      <w:marRight w:val="0"/>
                      <w:marTop w:val="0"/>
                      <w:marBottom w:val="0"/>
                      <w:divBdr>
                        <w:top w:val="none" w:sz="0" w:space="0" w:color="auto"/>
                        <w:left w:val="none" w:sz="0" w:space="0" w:color="auto"/>
                        <w:bottom w:val="none" w:sz="0" w:space="0" w:color="auto"/>
                        <w:right w:val="none" w:sz="0" w:space="0" w:color="auto"/>
                      </w:divBdr>
                      <w:divsChild>
                        <w:div w:id="1115713999">
                          <w:marLeft w:val="0"/>
                          <w:marRight w:val="0"/>
                          <w:marTop w:val="0"/>
                          <w:marBottom w:val="0"/>
                          <w:divBdr>
                            <w:top w:val="none" w:sz="0" w:space="0" w:color="auto"/>
                            <w:left w:val="none" w:sz="0" w:space="0" w:color="auto"/>
                            <w:bottom w:val="single" w:sz="6" w:space="0" w:color="EBEBEB"/>
                            <w:right w:val="none" w:sz="0" w:space="0" w:color="auto"/>
                          </w:divBdr>
                          <w:divsChild>
                            <w:div w:id="1585144110">
                              <w:marLeft w:val="0"/>
                              <w:marRight w:val="0"/>
                              <w:marTop w:val="0"/>
                              <w:marBottom w:val="0"/>
                              <w:divBdr>
                                <w:top w:val="none" w:sz="0" w:space="0" w:color="auto"/>
                                <w:left w:val="none" w:sz="0" w:space="0" w:color="auto"/>
                                <w:bottom w:val="none" w:sz="0" w:space="0" w:color="auto"/>
                                <w:right w:val="none" w:sz="0" w:space="0" w:color="auto"/>
                              </w:divBdr>
                              <w:divsChild>
                                <w:div w:id="1237740641">
                                  <w:marLeft w:val="0"/>
                                  <w:marRight w:val="0"/>
                                  <w:marTop w:val="0"/>
                                  <w:marBottom w:val="0"/>
                                  <w:divBdr>
                                    <w:top w:val="none" w:sz="0" w:space="0" w:color="auto"/>
                                    <w:left w:val="none" w:sz="0" w:space="0" w:color="auto"/>
                                    <w:bottom w:val="none" w:sz="0" w:space="0" w:color="auto"/>
                                    <w:right w:val="none" w:sz="0" w:space="0" w:color="auto"/>
                                  </w:divBdr>
                                  <w:divsChild>
                                    <w:div w:id="614022966">
                                      <w:marLeft w:val="0"/>
                                      <w:marRight w:val="0"/>
                                      <w:marTop w:val="0"/>
                                      <w:marBottom w:val="0"/>
                                      <w:divBdr>
                                        <w:top w:val="none" w:sz="0" w:space="0" w:color="auto"/>
                                        <w:left w:val="none" w:sz="0" w:space="0" w:color="auto"/>
                                        <w:bottom w:val="none" w:sz="0" w:space="0" w:color="auto"/>
                                        <w:right w:val="none" w:sz="0" w:space="0" w:color="auto"/>
                                      </w:divBdr>
                                      <w:divsChild>
                                        <w:div w:id="14697231">
                                          <w:marLeft w:val="0"/>
                                          <w:marRight w:val="0"/>
                                          <w:marTop w:val="0"/>
                                          <w:marBottom w:val="0"/>
                                          <w:divBdr>
                                            <w:top w:val="none" w:sz="0" w:space="0" w:color="auto"/>
                                            <w:left w:val="none" w:sz="0" w:space="0" w:color="auto"/>
                                            <w:bottom w:val="none" w:sz="0" w:space="0" w:color="auto"/>
                                            <w:right w:val="none" w:sz="0" w:space="0" w:color="auto"/>
                                          </w:divBdr>
                                        </w:div>
                                        <w:div w:id="1032851387">
                                          <w:marLeft w:val="0"/>
                                          <w:marRight w:val="0"/>
                                          <w:marTop w:val="0"/>
                                          <w:marBottom w:val="0"/>
                                          <w:divBdr>
                                            <w:top w:val="none" w:sz="0" w:space="0" w:color="auto"/>
                                            <w:left w:val="none" w:sz="0" w:space="0" w:color="auto"/>
                                            <w:bottom w:val="none" w:sz="0" w:space="0" w:color="auto"/>
                                            <w:right w:val="none" w:sz="0" w:space="0" w:color="auto"/>
                                          </w:divBdr>
                                          <w:divsChild>
                                            <w:div w:id="1249339654">
                                              <w:marLeft w:val="2535"/>
                                              <w:marRight w:val="0"/>
                                              <w:marTop w:val="0"/>
                                              <w:marBottom w:val="0"/>
                                              <w:divBdr>
                                                <w:top w:val="none" w:sz="0" w:space="0" w:color="auto"/>
                                                <w:left w:val="none" w:sz="0" w:space="0" w:color="auto"/>
                                                <w:bottom w:val="none" w:sz="0" w:space="0" w:color="auto"/>
                                                <w:right w:val="none" w:sz="0" w:space="0" w:color="auto"/>
                                              </w:divBdr>
                                              <w:divsChild>
                                                <w:div w:id="315229690">
                                                  <w:marLeft w:val="15"/>
                                                  <w:marRight w:val="15"/>
                                                  <w:marTop w:val="165"/>
                                                  <w:marBottom w:val="0"/>
                                                  <w:divBdr>
                                                    <w:top w:val="none" w:sz="0" w:space="0" w:color="auto"/>
                                                    <w:left w:val="none" w:sz="0" w:space="0" w:color="auto"/>
                                                    <w:bottom w:val="none" w:sz="0" w:space="0" w:color="auto"/>
                                                    <w:right w:val="none" w:sz="0" w:space="0" w:color="auto"/>
                                                  </w:divBdr>
                                                </w:div>
                                                <w:div w:id="805396163">
                                                  <w:marLeft w:val="15"/>
                                                  <w:marRight w:val="15"/>
                                                  <w:marTop w:val="165"/>
                                                  <w:marBottom w:val="0"/>
                                                  <w:divBdr>
                                                    <w:top w:val="none" w:sz="0" w:space="0" w:color="auto"/>
                                                    <w:left w:val="none" w:sz="0" w:space="0" w:color="auto"/>
                                                    <w:bottom w:val="none" w:sz="0" w:space="0" w:color="auto"/>
                                                    <w:right w:val="none" w:sz="0" w:space="0" w:color="auto"/>
                                                  </w:divBdr>
                                                </w:div>
                                                <w:div w:id="1607729962">
                                                  <w:marLeft w:val="15"/>
                                                  <w:marRight w:val="15"/>
                                                  <w:marTop w:val="165"/>
                                                  <w:marBottom w:val="0"/>
                                                  <w:divBdr>
                                                    <w:top w:val="none" w:sz="0" w:space="0" w:color="auto"/>
                                                    <w:left w:val="none" w:sz="0" w:space="0" w:color="auto"/>
                                                    <w:bottom w:val="single" w:sz="18" w:space="9" w:color="1A73E8"/>
                                                    <w:right w:val="none" w:sz="0" w:space="0" w:color="auto"/>
                                                  </w:divBdr>
                                                </w:div>
                                                <w:div w:id="2029288077">
                                                  <w:marLeft w:val="15"/>
                                                  <w:marRight w:val="15"/>
                                                  <w:marTop w:val="165"/>
                                                  <w:marBottom w:val="0"/>
                                                  <w:divBdr>
                                                    <w:top w:val="none" w:sz="0" w:space="0" w:color="auto"/>
                                                    <w:left w:val="none" w:sz="0" w:space="0" w:color="auto"/>
                                                    <w:bottom w:val="none" w:sz="0" w:space="0" w:color="auto"/>
                                                    <w:right w:val="none" w:sz="0" w:space="0" w:color="auto"/>
                                                  </w:divBdr>
                                                </w:div>
                                                <w:div w:id="2111464248">
                                                  <w:marLeft w:val="15"/>
                                                  <w:marRight w:val="1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143044">
          <w:marLeft w:val="0"/>
          <w:marRight w:val="0"/>
          <w:marTop w:val="0"/>
          <w:marBottom w:val="0"/>
          <w:divBdr>
            <w:top w:val="none" w:sz="0" w:space="0" w:color="auto"/>
            <w:left w:val="none" w:sz="0" w:space="0" w:color="auto"/>
            <w:bottom w:val="none" w:sz="0" w:space="0" w:color="auto"/>
            <w:right w:val="none" w:sz="0" w:space="0" w:color="auto"/>
          </w:divBdr>
          <w:divsChild>
            <w:div w:id="822891058">
              <w:marLeft w:val="0"/>
              <w:marRight w:val="0"/>
              <w:marTop w:val="0"/>
              <w:marBottom w:val="0"/>
              <w:divBdr>
                <w:top w:val="none" w:sz="0" w:space="0" w:color="auto"/>
                <w:left w:val="none" w:sz="0" w:space="0" w:color="auto"/>
                <w:bottom w:val="none" w:sz="0" w:space="0" w:color="auto"/>
                <w:right w:val="none" w:sz="0" w:space="0" w:color="auto"/>
              </w:divBdr>
              <w:divsChild>
                <w:div w:id="455415968">
                  <w:marLeft w:val="1995"/>
                  <w:marRight w:val="0"/>
                  <w:marTop w:val="0"/>
                  <w:marBottom w:val="0"/>
                  <w:divBdr>
                    <w:top w:val="none" w:sz="0" w:space="0" w:color="auto"/>
                    <w:left w:val="none" w:sz="0" w:space="0" w:color="auto"/>
                    <w:bottom w:val="none" w:sz="0" w:space="0" w:color="auto"/>
                    <w:right w:val="none" w:sz="0" w:space="0" w:color="auto"/>
                  </w:divBdr>
                  <w:divsChild>
                    <w:div w:id="659162954">
                      <w:marLeft w:val="0"/>
                      <w:marRight w:val="0"/>
                      <w:marTop w:val="0"/>
                      <w:marBottom w:val="0"/>
                      <w:divBdr>
                        <w:top w:val="single" w:sz="6" w:space="0" w:color="DFE1E5"/>
                        <w:left w:val="single" w:sz="6" w:space="0" w:color="DFE1E5"/>
                        <w:bottom w:val="single" w:sz="6" w:space="0" w:color="DFE1E5"/>
                        <w:right w:val="single" w:sz="6" w:space="0" w:color="DFE1E5"/>
                      </w:divBdr>
                      <w:divsChild>
                        <w:div w:id="418335193">
                          <w:marLeft w:val="0"/>
                          <w:marRight w:val="0"/>
                          <w:marTop w:val="0"/>
                          <w:marBottom w:val="0"/>
                          <w:divBdr>
                            <w:top w:val="none" w:sz="0" w:space="0" w:color="auto"/>
                            <w:left w:val="none" w:sz="0" w:space="0" w:color="auto"/>
                            <w:bottom w:val="none" w:sz="0" w:space="0" w:color="auto"/>
                            <w:right w:val="none" w:sz="0" w:space="0" w:color="auto"/>
                          </w:divBdr>
                          <w:divsChild>
                            <w:div w:id="895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88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hyperlink" Target="http://www.taxjustice.net/cms/upload/pdf/Privy_Council_and_Secrecy_Scores.pdf" TargetMode="External"/><Relationship Id="rId17" Type="http://schemas.openxmlformats.org/officeDocument/2006/relationships/chart" Target="charts/chart6.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3.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euergerechtigkeit.blogspot.de/2015/09/steueroase-deutschland-das-buch.html" TargetMode="External"/><Relationship Id="rId2" Type="http://schemas.openxmlformats.org/officeDocument/2006/relationships/hyperlink" Target="http://coffers.eu/wp-content/uploads/2019/10/1910-Meinzer-PhD-Dissertation-OECD-Tax-Policies.pdf" TargetMode="External"/><Relationship Id="rId1" Type="http://schemas.openxmlformats.org/officeDocument/2006/relationships/hyperlink" Target="mailto:rachel@taxjustice.net" TargetMode="External"/><Relationship Id="rId4" Type="http://schemas.openxmlformats.org/officeDocument/2006/relationships/hyperlink" Target="https://coffers.eu/"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20190604_CTHI_results_Afric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Reports-Papers/2020-Journal%20on%20Financing%20for%20Dev%20(UoNairobi)/20190604_CTHI_results_Africa.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11.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Manuscripts%20(submissions)/20190604_CTHI_results_Africa.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0.xml"/></Relationships>
</file>

<file path=word/charts/_rels/chart12.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20190604_CTHI_results_Africa.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11.xml"/></Relationships>
</file>

<file path=word/charts/_rels/chart13.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Reports-Papers/2020-Journal%20on%20Financing%20for%20Dev%20(UoNairobi)/20190604_CTHI_results_Africa.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12.xml"/></Relationships>
</file>

<file path=word/charts/_rels/chart2.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Manuscripts%20(submissions)/20190604_CTHI_results_Afric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Manuscripts%20(submissions)/20190604_CTHI_results_Afric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20190604_CTHI_results_Africa.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Reports-Papers/2020-Journal%20on%20Financing%20for%20Dev%20(UoNairobi)/20190604_CTHI_results_Africa.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20190604_CTHI_results_Africa.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20190604_CTHI_results_Africa.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Reports-Papers/2020-Journal%20on%20Financing%20for%20Dev%20(UoNairobi)/20190604_CTHI_results_Africa.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https://taxjustice.sharepoint.com/Shared%20Documents/Workstreams/Financial%20Secrecy/FASTA/Workshops/20190912-ATRN-BurkinaFaso-IFF-Risk/20190604_CTHI_results_Africa.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0202355051287"/>
          <c:y val="4.6679397411415233E-2"/>
          <c:w val="0.73191148580391552"/>
          <c:h val="0.71118852027646762"/>
        </c:manualLayout>
      </c:layout>
      <c:barChart>
        <c:barDir val="col"/>
        <c:grouping val="clustered"/>
        <c:varyColors val="0"/>
        <c:ser>
          <c:idx val="0"/>
          <c:order val="0"/>
          <c:tx>
            <c:strRef>
              <c:f>'Ranking Africa'!$D$13</c:f>
              <c:strCache>
                <c:ptCount val="1"/>
                <c:pt idx="0">
                  <c:v>Average CTHI Value</c:v>
                </c:pt>
              </c:strCache>
            </c:strRef>
          </c:tx>
          <c:spPr>
            <a:solidFill>
              <a:schemeClr val="accent1"/>
            </a:solidFill>
            <a:ln>
              <a:noFill/>
            </a:ln>
            <a:effectLst/>
          </c:spPr>
          <c:invertIfNegative val="0"/>
          <c:cat>
            <c:strRef>
              <c:f>'Ranking Africa'!$C$14:$C$18</c:f>
              <c:strCache>
                <c:ptCount val="5"/>
                <c:pt idx="0">
                  <c:v>Africa</c:v>
                </c:pt>
                <c:pt idx="1">
                  <c:v>EU</c:v>
                </c:pt>
                <c:pt idx="2">
                  <c:v>EU &amp; dependencies</c:v>
                </c:pt>
                <c:pt idx="3">
                  <c:v>OECD</c:v>
                </c:pt>
                <c:pt idx="4">
                  <c:v>OECD &amp; dependencies</c:v>
                </c:pt>
              </c:strCache>
            </c:strRef>
          </c:cat>
          <c:val>
            <c:numRef>
              <c:f>'Ranking Africa'!$D$14:$D$18</c:f>
              <c:numCache>
                <c:formatCode>0</c:formatCode>
                <c:ptCount val="5"/>
                <c:pt idx="0">
                  <c:v>178.77819271888154</c:v>
                </c:pt>
                <c:pt idx="1">
                  <c:v>490.10853659760215</c:v>
                </c:pt>
                <c:pt idx="2">
                  <c:v>661.58636052011263</c:v>
                </c:pt>
                <c:pt idx="3">
                  <c:v>573.60741100983</c:v>
                </c:pt>
                <c:pt idx="4">
                  <c:v>731.9081262518215</c:v>
                </c:pt>
              </c:numCache>
            </c:numRef>
          </c:val>
          <c:extLst>
            <c:ext xmlns:c16="http://schemas.microsoft.com/office/drawing/2014/chart" uri="{C3380CC4-5D6E-409C-BE32-E72D297353CC}">
              <c16:uniqueId val="{00000000-A4CC-4798-8F09-B13A6EC61C95}"/>
            </c:ext>
          </c:extLst>
        </c:ser>
        <c:ser>
          <c:idx val="3"/>
          <c:order val="3"/>
          <c:tx>
            <c:strRef>
              <c:f>'Ranking Africa'!$G$13</c:f>
              <c:strCache>
                <c:ptCount val="1"/>
                <c:pt idx="0">
                  <c:v>Average Global Scale Weight</c:v>
                </c:pt>
              </c:strCache>
            </c:strRef>
          </c:tx>
          <c:spPr>
            <a:solidFill>
              <a:schemeClr val="accent4"/>
            </a:solidFill>
            <a:ln>
              <a:noFill/>
            </a:ln>
            <a:effectLst/>
          </c:spPr>
          <c:invertIfNegative val="0"/>
          <c:cat>
            <c:strRef>
              <c:f>'Ranking Africa'!$C$14:$C$18</c:f>
              <c:strCache>
                <c:ptCount val="5"/>
                <c:pt idx="0">
                  <c:v>Africa</c:v>
                </c:pt>
                <c:pt idx="1">
                  <c:v>EU</c:v>
                </c:pt>
                <c:pt idx="2">
                  <c:v>EU &amp; dependencies</c:v>
                </c:pt>
                <c:pt idx="3">
                  <c:v>OECD</c:v>
                </c:pt>
                <c:pt idx="4">
                  <c:v>OECD &amp; dependencies</c:v>
                </c:pt>
              </c:strCache>
            </c:strRef>
          </c:cat>
          <c:val>
            <c:numRef>
              <c:f>'Ranking Africa'!$G$14:$G$18</c:f>
              <c:numCache>
                <c:formatCode>0.00%</c:formatCode>
                <c:ptCount val="5"/>
                <c:pt idx="0">
                  <c:v>1.4072436049668924E-3</c:v>
                </c:pt>
                <c:pt idx="1">
                  <c:v>1.7677935440552208E-2</c:v>
                </c:pt>
                <c:pt idx="2">
                  <c:v>1.4073366978479182E-2</c:v>
                </c:pt>
                <c:pt idx="3">
                  <c:v>2.5849399304260591E-2</c:v>
                </c:pt>
                <c:pt idx="4">
                  <c:v>1.9302364038114063E-2</c:v>
                </c:pt>
              </c:numCache>
            </c:numRef>
          </c:val>
          <c:extLst>
            <c:ext xmlns:c16="http://schemas.microsoft.com/office/drawing/2014/chart" uri="{C3380CC4-5D6E-409C-BE32-E72D297353CC}">
              <c16:uniqueId val="{00000001-A4CC-4798-8F09-B13A6EC61C95}"/>
            </c:ext>
          </c:extLst>
        </c:ser>
        <c:dLbls>
          <c:showLegendKey val="0"/>
          <c:showVal val="0"/>
          <c:showCatName val="0"/>
          <c:showSerName val="0"/>
          <c:showPercent val="0"/>
          <c:showBubbleSize val="0"/>
        </c:dLbls>
        <c:gapWidth val="219"/>
        <c:axId val="666195600"/>
        <c:axId val="666194616"/>
      </c:barChart>
      <c:barChart>
        <c:barDir val="col"/>
        <c:grouping val="clustered"/>
        <c:varyColors val="0"/>
        <c:ser>
          <c:idx val="1"/>
          <c:order val="1"/>
          <c:tx>
            <c:strRef>
              <c:f>'Ranking Africa'!$E$13</c:f>
              <c:strCache>
                <c:ptCount val="1"/>
                <c:pt idx="0">
                  <c:v>CTHI Share</c:v>
                </c:pt>
              </c:strCache>
            </c:strRef>
          </c:tx>
          <c:spPr>
            <a:solidFill>
              <a:schemeClr val="accent2"/>
            </a:solidFill>
            <a:ln>
              <a:noFill/>
            </a:ln>
            <a:effectLst/>
          </c:spPr>
          <c:invertIfNegative val="0"/>
          <c:cat>
            <c:strRef>
              <c:f>'Ranking Africa'!$C$14:$C$18</c:f>
              <c:strCache>
                <c:ptCount val="5"/>
                <c:pt idx="0">
                  <c:v>Africa</c:v>
                </c:pt>
                <c:pt idx="1">
                  <c:v>EU</c:v>
                </c:pt>
                <c:pt idx="2">
                  <c:v>EU &amp; dependencies</c:v>
                </c:pt>
                <c:pt idx="3">
                  <c:v>OECD</c:v>
                </c:pt>
                <c:pt idx="4">
                  <c:v>OECD &amp; dependencies</c:v>
                </c:pt>
              </c:strCache>
            </c:strRef>
          </c:cat>
          <c:val>
            <c:numRef>
              <c:f>'Ranking Africa'!$E$14:$E$18</c:f>
              <c:numCache>
                <c:formatCode>0.00%</c:formatCode>
                <c:ptCount val="5"/>
                <c:pt idx="0">
                  <c:v>4.70652038593762E-3</c:v>
                </c:pt>
                <c:pt idx="1">
                  <c:v>1.2902612917929155E-2</c:v>
                </c:pt>
                <c:pt idx="2">
                  <c:v>1.7416943562811447E-2</c:v>
                </c:pt>
                <c:pt idx="3">
                  <c:v>1.5100806940630507E-2</c:v>
                </c:pt>
                <c:pt idx="4">
                  <c:v>1.9268236603410923E-2</c:v>
                </c:pt>
              </c:numCache>
            </c:numRef>
          </c:val>
          <c:extLst>
            <c:ext xmlns:c16="http://schemas.microsoft.com/office/drawing/2014/chart" uri="{C3380CC4-5D6E-409C-BE32-E72D297353CC}">
              <c16:uniqueId val="{00000002-A4CC-4798-8F09-B13A6EC61C95}"/>
            </c:ext>
          </c:extLst>
        </c:ser>
        <c:ser>
          <c:idx val="2"/>
          <c:order val="2"/>
          <c:tx>
            <c:strRef>
              <c:f>'Ranking Africa'!$F$13</c:f>
              <c:strCache>
                <c:ptCount val="1"/>
                <c:pt idx="0">
                  <c:v>Average Haven Score</c:v>
                </c:pt>
              </c:strCache>
            </c:strRef>
          </c:tx>
          <c:spPr>
            <a:solidFill>
              <a:schemeClr val="accent6"/>
            </a:solidFill>
            <a:ln>
              <a:noFill/>
            </a:ln>
            <a:effectLst/>
          </c:spPr>
          <c:invertIfNegative val="0"/>
          <c:cat>
            <c:strRef>
              <c:f>'Ranking Africa'!$C$14:$C$18</c:f>
              <c:strCache>
                <c:ptCount val="5"/>
                <c:pt idx="0">
                  <c:v>Africa</c:v>
                </c:pt>
                <c:pt idx="1">
                  <c:v>EU</c:v>
                </c:pt>
                <c:pt idx="2">
                  <c:v>EU &amp; dependencies</c:v>
                </c:pt>
                <c:pt idx="3">
                  <c:v>OECD</c:v>
                </c:pt>
                <c:pt idx="4">
                  <c:v>OECD &amp; dependencies</c:v>
                </c:pt>
              </c:strCache>
            </c:strRef>
          </c:cat>
          <c:val>
            <c:numRef>
              <c:f>'Ranking Africa'!$F$14:$F$18</c:f>
              <c:numCache>
                <c:formatCode>0</c:formatCode>
                <c:ptCount val="5"/>
                <c:pt idx="0">
                  <c:v>54.853272449910058</c:v>
                </c:pt>
                <c:pt idx="1">
                  <c:v>58.590016705082988</c:v>
                </c:pt>
                <c:pt idx="2">
                  <c:v>67.59445783550737</c:v>
                </c:pt>
                <c:pt idx="3">
                  <c:v>58.267700196972172</c:v>
                </c:pt>
                <c:pt idx="4">
                  <c:v>68.106766232493939</c:v>
                </c:pt>
              </c:numCache>
            </c:numRef>
          </c:val>
          <c:extLst>
            <c:ext xmlns:c16="http://schemas.microsoft.com/office/drawing/2014/chart" uri="{C3380CC4-5D6E-409C-BE32-E72D297353CC}">
              <c16:uniqueId val="{00000003-A4CC-4798-8F09-B13A6EC61C95}"/>
            </c:ext>
          </c:extLst>
        </c:ser>
        <c:dLbls>
          <c:showLegendKey val="0"/>
          <c:showVal val="0"/>
          <c:showCatName val="0"/>
          <c:showSerName val="0"/>
          <c:showPercent val="0"/>
          <c:showBubbleSize val="0"/>
        </c:dLbls>
        <c:gapWidth val="219"/>
        <c:axId val="453281104"/>
        <c:axId val="453280120"/>
      </c:barChart>
      <c:catAx>
        <c:axId val="66619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194616"/>
        <c:crosses val="autoZero"/>
        <c:auto val="1"/>
        <c:lblAlgn val="ctr"/>
        <c:lblOffset val="100"/>
        <c:noMultiLvlLbl val="0"/>
      </c:catAx>
      <c:valAx>
        <c:axId val="666194616"/>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en-GB" sz="800">
                    <a:latin typeface="Verdana" panose="020B0604030504040204" pitchFamily="34" charset="0"/>
                    <a:ea typeface="Verdana" panose="020B0604030504040204" pitchFamily="34" charset="0"/>
                    <a:cs typeface="Verdana" panose="020B0604030504040204" pitchFamily="34" charset="0"/>
                  </a:rPr>
                  <a:t>CTHI Value</a:t>
                </a:r>
              </a:p>
            </c:rich>
          </c:tx>
          <c:layout>
            <c:manualLayout>
              <c:xMode val="edge"/>
              <c:yMode val="edge"/>
              <c:x val="1.2238400755461126E-2"/>
              <c:y val="0.3172360841977909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195600"/>
        <c:crosses val="autoZero"/>
        <c:crossBetween val="between"/>
      </c:valAx>
      <c:valAx>
        <c:axId val="453280120"/>
        <c:scaling>
          <c:orientation val="minMax"/>
          <c:max val="100"/>
        </c:scaling>
        <c:delete val="0"/>
        <c:axPos val="r"/>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r>
                  <a:rPr lang="en-GB" sz="800">
                    <a:latin typeface="Verdana" panose="020B0604030504040204" pitchFamily="34" charset="0"/>
                    <a:ea typeface="Verdana" panose="020B0604030504040204" pitchFamily="34" charset="0"/>
                  </a:rPr>
                  <a:t>Haven Score</a:t>
                </a:r>
              </a:p>
            </c:rich>
          </c:tx>
          <c:layout>
            <c:manualLayout>
              <c:xMode val="edge"/>
              <c:yMode val="edge"/>
              <c:x val="0.91704088451385424"/>
              <c:y val="0.2910889798864256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3281104"/>
        <c:crosses val="max"/>
        <c:crossBetween val="between"/>
      </c:valAx>
      <c:catAx>
        <c:axId val="453281104"/>
        <c:scaling>
          <c:orientation val="minMax"/>
        </c:scaling>
        <c:delete val="1"/>
        <c:axPos val="b"/>
        <c:numFmt formatCode="General" sourceLinked="1"/>
        <c:majorTickMark val="out"/>
        <c:minorTickMark val="none"/>
        <c:tickLblPos val="nextTo"/>
        <c:crossAx val="453280120"/>
        <c:crosses val="autoZero"/>
        <c:auto val="1"/>
        <c:lblAlgn val="ctr"/>
        <c:lblOffset val="100"/>
        <c:noMultiLvlLbl val="0"/>
      </c:cat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061720425958"/>
          <c:y val="7.407407407407407E-2"/>
          <c:w val="0.8295278221654685"/>
          <c:h val="0.61555409740449107"/>
        </c:manualLayout>
      </c:layout>
      <c:barChart>
        <c:barDir val="col"/>
        <c:grouping val="clustered"/>
        <c:varyColors val="0"/>
        <c:ser>
          <c:idx val="0"/>
          <c:order val="0"/>
          <c:tx>
            <c:strRef>
              <c:f>'Cat_radarcharts Editing 3-2020'!$A$84</c:f>
              <c:strCache>
                <c:ptCount val="1"/>
                <c:pt idx="0">
                  <c:v>African Average</c:v>
                </c:pt>
              </c:strCache>
            </c:strRef>
          </c:tx>
          <c:spPr>
            <a:solidFill>
              <a:schemeClr val="accent1"/>
            </a:solidFill>
            <a:ln>
              <a:noFill/>
            </a:ln>
            <a:effectLst/>
          </c:spPr>
          <c:invertIfNegative val="0"/>
          <c:cat>
            <c:strRef>
              <c:f>'Cat_radarcharts Editing 3-2020'!$B$83:$F$83</c:f>
              <c:strCache>
                <c:ptCount val="5"/>
                <c:pt idx="0">
                  <c:v>Deduction Limitation for Interests</c:v>
                </c:pt>
                <c:pt idx="1">
                  <c:v>Deduction Limitation for Royalties</c:v>
                </c:pt>
                <c:pt idx="2">
                  <c:v>Deduction Limitation for Service Payments</c:v>
                </c:pt>
                <c:pt idx="3">
                  <c:v>Dividend Withholding Taxes</c:v>
                </c:pt>
                <c:pt idx="4">
                  <c:v>Controlled Foregin Company Rules</c:v>
                </c:pt>
              </c:strCache>
            </c:strRef>
          </c:cat>
          <c:val>
            <c:numRef>
              <c:f>'Cat_radarcharts Editing 3-2020'!$B$84:$F$84</c:f>
              <c:numCache>
                <c:formatCode>0</c:formatCode>
                <c:ptCount val="5"/>
                <c:pt idx="0">
                  <c:v>92.777777777777771</c:v>
                </c:pt>
                <c:pt idx="1">
                  <c:v>86.111111111111114</c:v>
                </c:pt>
                <c:pt idx="2">
                  <c:v>88.888888888888886</c:v>
                </c:pt>
                <c:pt idx="3">
                  <c:v>96.825396824444454</c:v>
                </c:pt>
                <c:pt idx="4">
                  <c:v>86.111111111111114</c:v>
                </c:pt>
              </c:numCache>
            </c:numRef>
          </c:val>
          <c:extLst>
            <c:ext xmlns:c16="http://schemas.microsoft.com/office/drawing/2014/chart" uri="{C3380CC4-5D6E-409C-BE32-E72D297353CC}">
              <c16:uniqueId val="{00000000-3878-4293-AA4D-42DC42BDA1D2}"/>
            </c:ext>
          </c:extLst>
        </c:ser>
        <c:ser>
          <c:idx val="1"/>
          <c:order val="1"/>
          <c:tx>
            <c:strRef>
              <c:f>'Cat_radarcharts Editing 3-2020'!$A$85</c:f>
              <c:strCache>
                <c:ptCount val="1"/>
                <c:pt idx="0">
                  <c:v>EU</c:v>
                </c:pt>
              </c:strCache>
            </c:strRef>
          </c:tx>
          <c:spPr>
            <a:solidFill>
              <a:schemeClr val="accent2"/>
            </a:solidFill>
            <a:ln>
              <a:noFill/>
            </a:ln>
            <a:effectLst/>
          </c:spPr>
          <c:invertIfNegative val="0"/>
          <c:cat>
            <c:strRef>
              <c:f>'Cat_radarcharts Editing 3-2020'!$B$83:$F$83</c:f>
              <c:strCache>
                <c:ptCount val="5"/>
                <c:pt idx="0">
                  <c:v>Deduction Limitation for Interests</c:v>
                </c:pt>
                <c:pt idx="1">
                  <c:v>Deduction Limitation for Royalties</c:v>
                </c:pt>
                <c:pt idx="2">
                  <c:v>Deduction Limitation for Service Payments</c:v>
                </c:pt>
                <c:pt idx="3">
                  <c:v>Dividend Withholding Taxes</c:v>
                </c:pt>
                <c:pt idx="4">
                  <c:v>Controlled Foregin Company Rules</c:v>
                </c:pt>
              </c:strCache>
            </c:strRef>
          </c:cat>
          <c:val>
            <c:numRef>
              <c:f>'Cat_radarcharts Editing 3-2020'!$B$85:$F$85</c:f>
              <c:numCache>
                <c:formatCode>0</c:formatCode>
                <c:ptCount val="5"/>
                <c:pt idx="0">
                  <c:v>85.535714285714292</c:v>
                </c:pt>
                <c:pt idx="1">
                  <c:v>94.642857142857139</c:v>
                </c:pt>
                <c:pt idx="2">
                  <c:v>92.857142857142861</c:v>
                </c:pt>
                <c:pt idx="3">
                  <c:v>100</c:v>
                </c:pt>
                <c:pt idx="4">
                  <c:v>37.5</c:v>
                </c:pt>
              </c:numCache>
            </c:numRef>
          </c:val>
          <c:extLst>
            <c:ext xmlns:c16="http://schemas.microsoft.com/office/drawing/2014/chart" uri="{C3380CC4-5D6E-409C-BE32-E72D297353CC}">
              <c16:uniqueId val="{00000001-3878-4293-AA4D-42DC42BDA1D2}"/>
            </c:ext>
          </c:extLst>
        </c:ser>
        <c:ser>
          <c:idx val="2"/>
          <c:order val="2"/>
          <c:tx>
            <c:strRef>
              <c:f>'Cat_radarcharts Editing 3-2020'!$A$86</c:f>
              <c:strCache>
                <c:ptCount val="1"/>
                <c:pt idx="0">
                  <c:v>OECD</c:v>
                </c:pt>
              </c:strCache>
            </c:strRef>
          </c:tx>
          <c:spPr>
            <a:solidFill>
              <a:schemeClr val="accent3"/>
            </a:solidFill>
            <a:ln>
              <a:noFill/>
            </a:ln>
            <a:effectLst/>
          </c:spPr>
          <c:invertIfNegative val="0"/>
          <c:cat>
            <c:strRef>
              <c:f>'Cat_radarcharts Editing 3-2020'!$B$83:$F$83</c:f>
              <c:strCache>
                <c:ptCount val="5"/>
                <c:pt idx="0">
                  <c:v>Deduction Limitation for Interests</c:v>
                </c:pt>
                <c:pt idx="1">
                  <c:v>Deduction Limitation for Royalties</c:v>
                </c:pt>
                <c:pt idx="2">
                  <c:v>Deduction Limitation for Service Payments</c:v>
                </c:pt>
                <c:pt idx="3">
                  <c:v>Dividend Withholding Taxes</c:v>
                </c:pt>
                <c:pt idx="4">
                  <c:v>Controlled Foregin Company Rules</c:v>
                </c:pt>
              </c:strCache>
            </c:strRef>
          </c:cat>
          <c:val>
            <c:numRef>
              <c:f>'Cat_radarcharts Editing 3-2020'!$B$86:$F$86</c:f>
              <c:numCache>
                <c:formatCode>0</c:formatCode>
                <c:ptCount val="5"/>
                <c:pt idx="0">
                  <c:v>85.8</c:v>
                </c:pt>
                <c:pt idx="1">
                  <c:v>92</c:v>
                </c:pt>
                <c:pt idx="2">
                  <c:v>88</c:v>
                </c:pt>
                <c:pt idx="3">
                  <c:v>96.571428571600009</c:v>
                </c:pt>
                <c:pt idx="4">
                  <c:v>35</c:v>
                </c:pt>
              </c:numCache>
            </c:numRef>
          </c:val>
          <c:extLst>
            <c:ext xmlns:c16="http://schemas.microsoft.com/office/drawing/2014/chart" uri="{C3380CC4-5D6E-409C-BE32-E72D297353CC}">
              <c16:uniqueId val="{00000002-3878-4293-AA4D-42DC42BDA1D2}"/>
            </c:ext>
          </c:extLst>
        </c:ser>
        <c:dLbls>
          <c:showLegendKey val="0"/>
          <c:showVal val="0"/>
          <c:showCatName val="0"/>
          <c:showSerName val="0"/>
          <c:showPercent val="0"/>
          <c:showBubbleSize val="0"/>
        </c:dLbls>
        <c:gapWidth val="219"/>
        <c:axId val="1091677232"/>
        <c:axId val="1235271712"/>
      </c:barChart>
      <c:lineChart>
        <c:grouping val="standard"/>
        <c:varyColors val="0"/>
        <c:ser>
          <c:idx val="3"/>
          <c:order val="3"/>
          <c:tx>
            <c:strRef>
              <c:f>'Cat_radarcharts Editing 3-2020'!$A$87</c:f>
              <c:strCache>
                <c:ptCount val="1"/>
                <c:pt idx="0">
                  <c:v>Best performer</c:v>
                </c:pt>
              </c:strCache>
            </c:strRef>
          </c:tx>
          <c:spPr>
            <a:ln w="28575" cap="rnd">
              <a:solidFill>
                <a:schemeClr val="accent4"/>
              </a:solidFill>
              <a:round/>
            </a:ln>
            <a:effectLst/>
          </c:spPr>
          <c:marker>
            <c:symbol val="none"/>
          </c:marker>
          <c:cat>
            <c:strRef>
              <c:f>'Cat_radarcharts Editing 3-2020'!$B$83:$F$83</c:f>
              <c:strCache>
                <c:ptCount val="5"/>
                <c:pt idx="0">
                  <c:v>Deduction Limitation for Interests</c:v>
                </c:pt>
                <c:pt idx="1">
                  <c:v>Deduction Limitation for Royalties</c:v>
                </c:pt>
                <c:pt idx="2">
                  <c:v>Deduction Limitation for Service Payments</c:v>
                </c:pt>
                <c:pt idx="3">
                  <c:v>Dividend Withholding Taxes</c:v>
                </c:pt>
                <c:pt idx="4">
                  <c:v>Controlled Foregin Company Rules</c:v>
                </c:pt>
              </c:strCache>
            </c:strRef>
          </c:cat>
          <c:val>
            <c:numRef>
              <c:f>'Cat_radarcharts Editing 3-2020'!$B$87:$F$87</c:f>
              <c:numCache>
                <c:formatCode>0</c:formatCode>
                <c:ptCount val="5"/>
                <c:pt idx="0">
                  <c:v>55</c:v>
                </c:pt>
                <c:pt idx="1">
                  <c:v>50</c:v>
                </c:pt>
                <c:pt idx="2">
                  <c:v>0</c:v>
                </c:pt>
                <c:pt idx="3">
                  <c:v>14.28571429</c:v>
                </c:pt>
                <c:pt idx="4">
                  <c:v>0</c:v>
                </c:pt>
              </c:numCache>
            </c:numRef>
          </c:val>
          <c:smooth val="0"/>
          <c:extLst>
            <c:ext xmlns:c16="http://schemas.microsoft.com/office/drawing/2014/chart" uri="{C3380CC4-5D6E-409C-BE32-E72D297353CC}">
              <c16:uniqueId val="{00000003-3878-4293-AA4D-42DC42BDA1D2}"/>
            </c:ext>
          </c:extLst>
        </c:ser>
        <c:dLbls>
          <c:showLegendKey val="0"/>
          <c:showVal val="0"/>
          <c:showCatName val="0"/>
          <c:showSerName val="0"/>
          <c:showPercent val="0"/>
          <c:showBubbleSize val="0"/>
        </c:dLbls>
        <c:marker val="1"/>
        <c:smooth val="0"/>
        <c:axId val="1091677232"/>
        <c:axId val="1235271712"/>
      </c:lineChart>
      <c:catAx>
        <c:axId val="109167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271712"/>
        <c:crosses val="autoZero"/>
        <c:auto val="1"/>
        <c:lblAlgn val="ctr"/>
        <c:lblOffset val="100"/>
        <c:noMultiLvlLbl val="0"/>
      </c:catAx>
      <c:valAx>
        <c:axId val="1235271712"/>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a:t>
                </a:r>
                <a:r>
                  <a:rPr lang="en-GB" sz="900" baseline="0"/>
                  <a:t> Score</a:t>
                </a:r>
                <a:endParaRPr lang="en-GB" sz="900"/>
              </a:p>
            </c:rich>
          </c:tx>
          <c:layout>
            <c:manualLayout>
              <c:xMode val="edge"/>
              <c:yMode val="edge"/>
              <c:x val="5.7963911784361784E-2"/>
              <c:y val="0.26657154432877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1677232"/>
        <c:crosses val="autoZero"/>
        <c:crossBetween val="between"/>
        <c:majorUnit val="20"/>
      </c:valAx>
      <c:spPr>
        <a:noFill/>
        <a:ln>
          <a:noFill/>
        </a:ln>
        <a:effectLst/>
      </c:spPr>
    </c:plotArea>
    <c:legend>
      <c:legendPos val="b"/>
      <c:layout>
        <c:manualLayout>
          <c:xMode val="edge"/>
          <c:yMode val="edge"/>
          <c:x val="0.17847318817827654"/>
          <c:y val="0.92189705453484982"/>
          <c:w val="0.64305344823654675"/>
          <c:h val="7.81029454651501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99185205992837"/>
          <c:y val="0.1285095448261665"/>
          <c:w val="0.80724556007055737"/>
          <c:h val="0.52051769390895108"/>
        </c:manualLayout>
      </c:layout>
      <c:barChart>
        <c:barDir val="col"/>
        <c:grouping val="clustered"/>
        <c:varyColors val="0"/>
        <c:ser>
          <c:idx val="0"/>
          <c:order val="0"/>
          <c:tx>
            <c:strRef>
              <c:f>'HI16'!$B$1</c:f>
              <c:strCache>
                <c:ptCount val="1"/>
                <c:pt idx="0">
                  <c:v>Royalties deduction</c:v>
                </c:pt>
              </c:strCache>
            </c:strRef>
          </c:tx>
          <c:spPr>
            <a:solidFill>
              <a:srgbClr val="C00000"/>
            </a:solidFill>
            <a:ln>
              <a:noFill/>
            </a:ln>
            <a:effectLst/>
          </c:spPr>
          <c:invertIfNegative val="0"/>
          <c:dPt>
            <c:idx val="5"/>
            <c:invertIfNegative val="0"/>
            <c:bubble3D val="0"/>
            <c:spPr>
              <a:solidFill>
                <a:srgbClr val="FF9933"/>
              </a:solidFill>
              <a:ln>
                <a:noFill/>
              </a:ln>
              <a:effectLst/>
            </c:spPr>
            <c:extLst>
              <c:ext xmlns:c16="http://schemas.microsoft.com/office/drawing/2014/chart" uri="{C3380CC4-5D6E-409C-BE32-E72D297353CC}">
                <c16:uniqueId val="{00000001-11E0-49B0-8EFD-5211A0D1A1CC}"/>
              </c:ext>
            </c:extLst>
          </c:dPt>
          <c:dPt>
            <c:idx val="6"/>
            <c:invertIfNegative val="0"/>
            <c:bubble3D val="0"/>
            <c:spPr>
              <a:solidFill>
                <a:srgbClr val="EBE60B"/>
              </a:solidFill>
              <a:ln>
                <a:noFill/>
              </a:ln>
              <a:effectLst/>
            </c:spPr>
            <c:extLst>
              <c:ext xmlns:c16="http://schemas.microsoft.com/office/drawing/2014/chart" uri="{C3380CC4-5D6E-409C-BE32-E72D297353CC}">
                <c16:uniqueId val="{00000003-11E0-49B0-8EFD-5211A0D1A1CC}"/>
              </c:ext>
            </c:extLst>
          </c:dPt>
          <c:dPt>
            <c:idx val="8"/>
            <c:invertIfNegative val="0"/>
            <c:bubble3D val="0"/>
            <c:spPr>
              <a:solidFill>
                <a:srgbClr val="EBE60B"/>
              </a:solidFill>
              <a:ln>
                <a:noFill/>
              </a:ln>
              <a:effectLst/>
            </c:spPr>
            <c:extLst>
              <c:ext xmlns:c16="http://schemas.microsoft.com/office/drawing/2014/chart" uri="{C3380CC4-5D6E-409C-BE32-E72D297353CC}">
                <c16:uniqueId val="{00000005-11E0-49B0-8EFD-5211A0D1A1CC}"/>
              </c:ext>
            </c:extLst>
          </c:dPt>
          <c:dPt>
            <c:idx val="9"/>
            <c:invertIfNegative val="0"/>
            <c:bubble3D val="0"/>
            <c:spPr>
              <a:solidFill>
                <a:srgbClr val="E26714"/>
              </a:solidFill>
              <a:ln>
                <a:noFill/>
              </a:ln>
              <a:effectLst/>
            </c:spPr>
            <c:extLst>
              <c:ext xmlns:c16="http://schemas.microsoft.com/office/drawing/2014/chart" uri="{C3380CC4-5D6E-409C-BE32-E72D297353CC}">
                <c16:uniqueId val="{00000007-11E0-49B0-8EFD-5211A0D1A1CC}"/>
              </c:ext>
            </c:extLst>
          </c:dPt>
          <c:dPt>
            <c:idx val="10"/>
            <c:invertIfNegative val="0"/>
            <c:bubble3D val="0"/>
            <c:spPr>
              <a:solidFill>
                <a:srgbClr val="E26714"/>
              </a:solidFill>
              <a:ln>
                <a:noFill/>
              </a:ln>
              <a:effectLst/>
            </c:spPr>
            <c:extLst>
              <c:ext xmlns:c16="http://schemas.microsoft.com/office/drawing/2014/chart" uri="{C3380CC4-5D6E-409C-BE32-E72D297353CC}">
                <c16:uniqueId val="{00000009-11E0-49B0-8EFD-5211A0D1A1CC}"/>
              </c:ext>
            </c:extLst>
          </c:dPt>
          <c:dPt>
            <c:idx val="11"/>
            <c:invertIfNegative val="0"/>
            <c:bubble3D val="0"/>
            <c:spPr>
              <a:solidFill>
                <a:srgbClr val="E26714"/>
              </a:solidFill>
              <a:ln>
                <a:noFill/>
              </a:ln>
              <a:effectLst/>
            </c:spPr>
            <c:extLst>
              <c:ext xmlns:c16="http://schemas.microsoft.com/office/drawing/2014/chart" uri="{C3380CC4-5D6E-409C-BE32-E72D297353CC}">
                <c16:uniqueId val="{0000000B-11E0-49B0-8EFD-5211A0D1A1CC}"/>
              </c:ext>
            </c:extLst>
          </c:dPt>
          <c:dPt>
            <c:idx val="12"/>
            <c:invertIfNegative val="0"/>
            <c:bubble3D val="0"/>
            <c:spPr>
              <a:solidFill>
                <a:srgbClr val="E26714"/>
              </a:solidFill>
              <a:ln>
                <a:noFill/>
              </a:ln>
              <a:effectLst/>
            </c:spPr>
            <c:extLst>
              <c:ext xmlns:c16="http://schemas.microsoft.com/office/drawing/2014/chart" uri="{C3380CC4-5D6E-409C-BE32-E72D297353CC}">
                <c16:uniqueId val="{0000000D-11E0-49B0-8EFD-5211A0D1A1CC}"/>
              </c:ext>
            </c:extLst>
          </c:dPt>
          <c:dPt>
            <c:idx val="13"/>
            <c:invertIfNegative val="0"/>
            <c:bubble3D val="0"/>
            <c:spPr>
              <a:solidFill>
                <a:srgbClr val="E26714"/>
              </a:solidFill>
              <a:ln>
                <a:noFill/>
              </a:ln>
              <a:effectLst/>
            </c:spPr>
            <c:extLst>
              <c:ext xmlns:c16="http://schemas.microsoft.com/office/drawing/2014/chart" uri="{C3380CC4-5D6E-409C-BE32-E72D297353CC}">
                <c16:uniqueId val="{0000000F-11E0-49B0-8EFD-5211A0D1A1CC}"/>
              </c:ext>
            </c:extLst>
          </c:dPt>
          <c:dPt>
            <c:idx val="14"/>
            <c:invertIfNegative val="0"/>
            <c:bubble3D val="0"/>
            <c:spPr>
              <a:solidFill>
                <a:srgbClr val="EBE60B"/>
              </a:solidFill>
              <a:ln>
                <a:noFill/>
              </a:ln>
              <a:effectLst/>
            </c:spPr>
            <c:extLst>
              <c:ext xmlns:c16="http://schemas.microsoft.com/office/drawing/2014/chart" uri="{C3380CC4-5D6E-409C-BE32-E72D297353CC}">
                <c16:uniqueId val="{00000011-11E0-49B0-8EFD-5211A0D1A1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'HI16'!$A$2:$A$16</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c:v>
                </c:pt>
                <c:pt idx="11">
                  <c:v>Eu &amp; dependencies</c:v>
                </c:pt>
                <c:pt idx="12">
                  <c:v>OECD</c:v>
                </c:pt>
                <c:pt idx="13">
                  <c:v>OECD &amp; dependencies</c:v>
                </c:pt>
                <c:pt idx="14">
                  <c:v>Best performer</c:v>
                </c:pt>
              </c:strCache>
            </c:strRef>
          </c:cat>
          <c:val>
            <c:numRef>
              <c:f>'HI16'!$B$2:$B$16</c:f>
              <c:numCache>
                <c:formatCode>General</c:formatCode>
                <c:ptCount val="15"/>
                <c:pt idx="0">
                  <c:v>100</c:v>
                </c:pt>
                <c:pt idx="1">
                  <c:v>100</c:v>
                </c:pt>
                <c:pt idx="2">
                  <c:v>100</c:v>
                </c:pt>
                <c:pt idx="3">
                  <c:v>100</c:v>
                </c:pt>
                <c:pt idx="4">
                  <c:v>100</c:v>
                </c:pt>
                <c:pt idx="5">
                  <c:v>75</c:v>
                </c:pt>
                <c:pt idx="6">
                  <c:v>50</c:v>
                </c:pt>
                <c:pt idx="7">
                  <c:v>100</c:v>
                </c:pt>
                <c:pt idx="8">
                  <c:v>50</c:v>
                </c:pt>
                <c:pt idx="9" formatCode="0">
                  <c:v>86.111111111111114</c:v>
                </c:pt>
                <c:pt idx="10" formatCode="0">
                  <c:v>94.642857142857139</c:v>
                </c:pt>
                <c:pt idx="11" formatCode="0">
                  <c:v>95</c:v>
                </c:pt>
                <c:pt idx="12" formatCode="0">
                  <c:v>92</c:v>
                </c:pt>
                <c:pt idx="13" formatCode="0">
                  <c:v>93.243243243243242</c:v>
                </c:pt>
                <c:pt idx="14" formatCode="0">
                  <c:v>50</c:v>
                </c:pt>
              </c:numCache>
            </c:numRef>
          </c:val>
          <c:extLst>
            <c:ext xmlns:c16="http://schemas.microsoft.com/office/drawing/2014/chart" uri="{C3380CC4-5D6E-409C-BE32-E72D297353CC}">
              <c16:uniqueId val="{00000012-11E0-49B0-8EFD-5211A0D1A1CC}"/>
            </c:ext>
          </c:extLst>
        </c:ser>
        <c:dLbls>
          <c:dLblPos val="outEnd"/>
          <c:showLegendKey val="0"/>
          <c:showVal val="1"/>
          <c:showCatName val="0"/>
          <c:showSerName val="0"/>
          <c:showPercent val="0"/>
          <c:showBubbleSize val="0"/>
        </c:dLbls>
        <c:gapWidth val="219"/>
        <c:overlap val="-27"/>
        <c:axId val="1075547776"/>
        <c:axId val="1075540560"/>
      </c:barChart>
      <c:catAx>
        <c:axId val="107554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540560"/>
        <c:crosses val="autoZero"/>
        <c:auto val="1"/>
        <c:lblAlgn val="ctr"/>
        <c:lblOffset val="100"/>
        <c:noMultiLvlLbl val="0"/>
      </c:catAx>
      <c:valAx>
        <c:axId val="1075540560"/>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 Score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547776"/>
        <c:crosses val="autoZero"/>
        <c:crossBetween val="between"/>
        <c:majorUnit val="20"/>
      </c:valAx>
      <c:spPr>
        <a:noFill/>
        <a:ln w="25400">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38417973623006"/>
          <c:y val="8.1712217593881489E-2"/>
          <c:w val="0.82595022952066732"/>
          <c:h val="0.55500447367361272"/>
        </c:manualLayout>
      </c:layout>
      <c:barChart>
        <c:barDir val="col"/>
        <c:grouping val="clustered"/>
        <c:varyColors val="0"/>
        <c:ser>
          <c:idx val="0"/>
          <c:order val="0"/>
          <c:tx>
            <c:strRef>
              <c:f>Categories!$D$121</c:f>
              <c:strCache>
                <c:ptCount val="1"/>
                <c:pt idx="0">
                  <c:v>Category 5: Double Tax Treaty Aggressiveness</c:v>
                </c:pt>
              </c:strCache>
            </c:strRef>
          </c:tx>
          <c:spPr>
            <a:solidFill>
              <a:schemeClr val="accent1"/>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7162-49AA-9AC7-32E190355CCA}"/>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3-7162-49AA-9AC7-32E190355CCA}"/>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5-7162-49AA-9AC7-32E190355CCA}"/>
              </c:ext>
            </c:extLst>
          </c:dPt>
          <c:dPt>
            <c:idx val="5"/>
            <c:invertIfNegative val="0"/>
            <c:bubble3D val="0"/>
            <c:spPr>
              <a:solidFill>
                <a:srgbClr val="EBE60B"/>
              </a:solidFill>
              <a:ln>
                <a:noFill/>
              </a:ln>
              <a:effectLst/>
            </c:spPr>
            <c:extLst>
              <c:ext xmlns:c16="http://schemas.microsoft.com/office/drawing/2014/chart" uri="{C3380CC4-5D6E-409C-BE32-E72D297353CC}">
                <c16:uniqueId val="{00000007-7162-49AA-9AC7-32E190355CCA}"/>
              </c:ext>
            </c:extLst>
          </c:dPt>
          <c:dPt>
            <c:idx val="6"/>
            <c:invertIfNegative val="0"/>
            <c:bubble3D val="0"/>
            <c:spPr>
              <a:solidFill>
                <a:schemeClr val="accent6">
                  <a:lumMod val="75000"/>
                </a:schemeClr>
              </a:solidFill>
              <a:ln>
                <a:noFill/>
              </a:ln>
              <a:effectLst/>
            </c:spPr>
            <c:extLst>
              <c:ext xmlns:c16="http://schemas.microsoft.com/office/drawing/2014/chart" uri="{C3380CC4-5D6E-409C-BE32-E72D297353CC}">
                <c16:uniqueId val="{00000009-7162-49AA-9AC7-32E190355CCA}"/>
              </c:ext>
            </c:extLst>
          </c:dPt>
          <c:dPt>
            <c:idx val="7"/>
            <c:invertIfNegative val="0"/>
            <c:bubble3D val="0"/>
            <c:spPr>
              <a:solidFill>
                <a:srgbClr val="EBE60B"/>
              </a:solidFill>
              <a:ln>
                <a:noFill/>
              </a:ln>
              <a:effectLst/>
            </c:spPr>
            <c:extLst>
              <c:ext xmlns:c16="http://schemas.microsoft.com/office/drawing/2014/chart" uri="{C3380CC4-5D6E-409C-BE32-E72D297353CC}">
                <c16:uniqueId val="{0000000B-7162-49AA-9AC7-32E190355CCA}"/>
              </c:ext>
            </c:extLst>
          </c:dPt>
          <c:dPt>
            <c:idx val="8"/>
            <c:invertIfNegative val="0"/>
            <c:bubble3D val="0"/>
            <c:spPr>
              <a:solidFill>
                <a:srgbClr val="92D050"/>
              </a:solidFill>
              <a:ln>
                <a:noFill/>
              </a:ln>
              <a:effectLst/>
            </c:spPr>
            <c:extLst>
              <c:ext xmlns:c16="http://schemas.microsoft.com/office/drawing/2014/chart" uri="{C3380CC4-5D6E-409C-BE32-E72D297353CC}">
                <c16:uniqueId val="{0000000D-7162-49AA-9AC7-32E190355CCA}"/>
              </c:ext>
            </c:extLst>
          </c:dPt>
          <c:dPt>
            <c:idx val="9"/>
            <c:invertIfNegative val="0"/>
            <c:bubble3D val="0"/>
            <c:spPr>
              <a:solidFill>
                <a:srgbClr val="92D050"/>
              </a:solidFill>
              <a:ln>
                <a:noFill/>
              </a:ln>
              <a:effectLst/>
            </c:spPr>
            <c:extLst>
              <c:ext xmlns:c16="http://schemas.microsoft.com/office/drawing/2014/chart" uri="{C3380CC4-5D6E-409C-BE32-E72D297353CC}">
                <c16:uniqueId val="{0000000F-7162-49AA-9AC7-32E190355CCA}"/>
              </c:ext>
            </c:extLst>
          </c:dPt>
          <c:dPt>
            <c:idx val="10"/>
            <c:invertIfNegative val="0"/>
            <c:bubble3D val="0"/>
            <c:spPr>
              <a:solidFill>
                <a:srgbClr val="EBE60B"/>
              </a:solidFill>
              <a:ln>
                <a:noFill/>
              </a:ln>
              <a:effectLst/>
            </c:spPr>
            <c:extLst>
              <c:ext xmlns:c16="http://schemas.microsoft.com/office/drawing/2014/chart" uri="{C3380CC4-5D6E-409C-BE32-E72D297353CC}">
                <c16:uniqueId val="{00000011-7162-49AA-9AC7-32E190355CCA}"/>
              </c:ext>
            </c:extLst>
          </c:dPt>
          <c:dPt>
            <c:idx val="11"/>
            <c:invertIfNegative val="0"/>
            <c:bubble3D val="0"/>
            <c:spPr>
              <a:solidFill>
                <a:srgbClr val="EBE60B"/>
              </a:solidFill>
              <a:ln>
                <a:noFill/>
              </a:ln>
              <a:effectLst/>
            </c:spPr>
            <c:extLst>
              <c:ext xmlns:c16="http://schemas.microsoft.com/office/drawing/2014/chart" uri="{C3380CC4-5D6E-409C-BE32-E72D297353CC}">
                <c16:uniqueId val="{00000013-7162-49AA-9AC7-32E190355CCA}"/>
              </c:ext>
            </c:extLst>
          </c:dPt>
          <c:dPt>
            <c:idx val="12"/>
            <c:invertIfNegative val="0"/>
            <c:bubble3D val="0"/>
            <c:spPr>
              <a:solidFill>
                <a:srgbClr val="EBE60B"/>
              </a:solidFill>
              <a:ln>
                <a:noFill/>
              </a:ln>
              <a:effectLst/>
            </c:spPr>
            <c:extLst>
              <c:ext xmlns:c16="http://schemas.microsoft.com/office/drawing/2014/chart" uri="{C3380CC4-5D6E-409C-BE32-E72D297353CC}">
                <c16:uniqueId val="{00000015-7162-49AA-9AC7-32E190355CCA}"/>
              </c:ext>
            </c:extLst>
          </c:dPt>
          <c:dPt>
            <c:idx val="13"/>
            <c:invertIfNegative val="0"/>
            <c:bubble3D val="0"/>
            <c:spPr>
              <a:solidFill>
                <a:srgbClr val="EBE60B"/>
              </a:solidFill>
              <a:ln>
                <a:noFill/>
              </a:ln>
              <a:effectLst/>
            </c:spPr>
            <c:extLst>
              <c:ext xmlns:c16="http://schemas.microsoft.com/office/drawing/2014/chart" uri="{C3380CC4-5D6E-409C-BE32-E72D297353CC}">
                <c16:uniqueId val="{00000017-7162-49AA-9AC7-32E190355CC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Categories!$C$122:$C$136</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c:v>
                </c:pt>
                <c:pt idx="11">
                  <c:v>EU &amp; dependencies</c:v>
                </c:pt>
                <c:pt idx="12">
                  <c:v>OECD</c:v>
                </c:pt>
                <c:pt idx="13">
                  <c:v>OECD &amp; dependencies</c:v>
                </c:pt>
                <c:pt idx="14">
                  <c:v>Best performers</c:v>
                </c:pt>
              </c:strCache>
            </c:strRef>
          </c:cat>
          <c:val>
            <c:numRef>
              <c:f>Categories!$D$122:$D$136</c:f>
              <c:numCache>
                <c:formatCode>0</c:formatCode>
                <c:ptCount val="15"/>
                <c:pt idx="0">
                  <c:v>2.158492565</c:v>
                </c:pt>
                <c:pt idx="1">
                  <c:v>0.51831102399999995</c:v>
                </c:pt>
                <c:pt idx="2">
                  <c:v>0.90859115099999999</c:v>
                </c:pt>
                <c:pt idx="3">
                  <c:v>0.82045239199999997</c:v>
                </c:pt>
                <c:pt idx="4">
                  <c:v>0</c:v>
                </c:pt>
                <c:pt idx="5">
                  <c:v>32.610874180000003</c:v>
                </c:pt>
                <c:pt idx="6">
                  <c:v>0.76759707899999996</c:v>
                </c:pt>
                <c:pt idx="7">
                  <c:v>32.507209779999997</c:v>
                </c:pt>
                <c:pt idx="8">
                  <c:v>14.29110622</c:v>
                </c:pt>
                <c:pt idx="9">
                  <c:v>9.3980704878888872</c:v>
                </c:pt>
                <c:pt idx="10">
                  <c:v>34.269388676607143</c:v>
                </c:pt>
                <c:pt idx="11">
                  <c:v>44.078073191549997</c:v>
                </c:pt>
                <c:pt idx="12">
                  <c:v>35.831075135399992</c:v>
                </c:pt>
                <c:pt idx="13">
                  <c:v>45.928565489243248</c:v>
                </c:pt>
                <c:pt idx="14">
                  <c:v>0</c:v>
                </c:pt>
              </c:numCache>
            </c:numRef>
          </c:val>
          <c:extLst>
            <c:ext xmlns:c16="http://schemas.microsoft.com/office/drawing/2014/chart" uri="{C3380CC4-5D6E-409C-BE32-E72D297353CC}">
              <c16:uniqueId val="{00000018-7162-49AA-9AC7-32E190355CCA}"/>
            </c:ext>
          </c:extLst>
        </c:ser>
        <c:dLbls>
          <c:dLblPos val="outEnd"/>
          <c:showLegendKey val="0"/>
          <c:showVal val="1"/>
          <c:showCatName val="0"/>
          <c:showSerName val="0"/>
          <c:showPercent val="0"/>
          <c:showBubbleSize val="0"/>
        </c:dLbls>
        <c:gapWidth val="219"/>
        <c:overlap val="-27"/>
        <c:axId val="952793040"/>
        <c:axId val="952794024"/>
      </c:barChart>
      <c:catAx>
        <c:axId val="95279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94024"/>
        <c:crosses val="autoZero"/>
        <c:auto val="1"/>
        <c:lblAlgn val="ctr"/>
        <c:lblOffset val="100"/>
        <c:noMultiLvlLbl val="0"/>
      </c:catAx>
      <c:valAx>
        <c:axId val="952794024"/>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 Score</a:t>
                </a:r>
              </a:p>
            </c:rich>
          </c:tx>
          <c:layout>
            <c:manualLayout>
              <c:xMode val="edge"/>
              <c:yMode val="edge"/>
              <c:x val="4.0834788738046343E-2"/>
              <c:y val="0.2144348200637695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93040"/>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05486512280359"/>
          <c:y val="7.6190058769275329E-2"/>
          <c:w val="0.58234985195873334"/>
          <c:h val="0.56831358518448771"/>
        </c:manualLayout>
      </c:layout>
      <c:barChart>
        <c:barDir val="col"/>
        <c:grouping val="clustered"/>
        <c:varyColors val="0"/>
        <c:ser>
          <c:idx val="0"/>
          <c:order val="0"/>
          <c:tx>
            <c:strRef>
              <c:f>Categories_barcharts!$C$142</c:f>
              <c:strCache>
                <c:ptCount val="1"/>
                <c:pt idx="0">
                  <c:v>African Average
(incl. Mauritius and Seychelles)</c:v>
                </c:pt>
              </c:strCache>
            </c:strRef>
          </c:tx>
          <c:spPr>
            <a:solidFill>
              <a:schemeClr val="accent1"/>
            </a:solidFill>
            <a:ln>
              <a:noFill/>
            </a:ln>
            <a:effectLst/>
          </c:spPr>
          <c:invertIfNegative val="0"/>
          <c:cat>
            <c:strRef>
              <c:f>Categories_barcharts!$D$141:$H$141</c:f>
              <c:strCache>
                <c:ptCount val="5"/>
                <c:pt idx="0">
                  <c:v>LACIT</c:v>
                </c:pt>
                <c:pt idx="1">
                  <c:v>Loopholes and Gaps</c:v>
                </c:pt>
                <c:pt idx="2">
                  <c:v>Transparency</c:v>
                </c:pt>
                <c:pt idx="3">
                  <c:v>Anti-Avoidance</c:v>
                </c:pt>
                <c:pt idx="4">
                  <c:v>Double Tax Treaty Aggressiveness </c:v>
                </c:pt>
              </c:strCache>
            </c:strRef>
          </c:cat>
          <c:val>
            <c:numRef>
              <c:f>Categories_barcharts!$D$142:$H$142</c:f>
              <c:numCache>
                <c:formatCode>0</c:formatCode>
                <c:ptCount val="5"/>
                <c:pt idx="0">
                  <c:v>40.634920635555559</c:v>
                </c:pt>
                <c:pt idx="1">
                  <c:v>44.460884353809526</c:v>
                </c:pt>
                <c:pt idx="2">
                  <c:v>89.629629629629619</c:v>
                </c:pt>
                <c:pt idx="3">
                  <c:v>90.142857142666671</c:v>
                </c:pt>
                <c:pt idx="4">
                  <c:v>9.3980704878888872</c:v>
                </c:pt>
              </c:numCache>
            </c:numRef>
          </c:val>
          <c:extLst>
            <c:ext xmlns:c16="http://schemas.microsoft.com/office/drawing/2014/chart" uri="{C3380CC4-5D6E-409C-BE32-E72D297353CC}">
              <c16:uniqueId val="{00000000-95FC-4FAE-99C3-C7924B6FA63E}"/>
            </c:ext>
          </c:extLst>
        </c:ser>
        <c:ser>
          <c:idx val="1"/>
          <c:order val="1"/>
          <c:tx>
            <c:strRef>
              <c:f>Categories_barcharts!$C$143</c:f>
              <c:strCache>
                <c:ptCount val="1"/>
                <c:pt idx="0">
                  <c:v>African Average
(excl. Mauritius and Seychelles)</c:v>
                </c:pt>
              </c:strCache>
            </c:strRef>
          </c:tx>
          <c:spPr>
            <a:solidFill>
              <a:schemeClr val="accent2"/>
            </a:solidFill>
            <a:ln>
              <a:noFill/>
            </a:ln>
            <a:effectLst/>
          </c:spPr>
          <c:invertIfNegative val="0"/>
          <c:cat>
            <c:strRef>
              <c:f>Categories_barcharts!$D$141:$H$141</c:f>
              <c:strCache>
                <c:ptCount val="5"/>
                <c:pt idx="0">
                  <c:v>LACIT</c:v>
                </c:pt>
                <c:pt idx="1">
                  <c:v>Loopholes and Gaps</c:v>
                </c:pt>
                <c:pt idx="2">
                  <c:v>Transparency</c:v>
                </c:pt>
                <c:pt idx="3">
                  <c:v>Anti-Avoidance</c:v>
                </c:pt>
                <c:pt idx="4">
                  <c:v>Double Tax Treaty Aggressiveness </c:v>
                </c:pt>
              </c:strCache>
            </c:strRef>
          </c:cat>
          <c:val>
            <c:numRef>
              <c:f>Categories_barcharts!$D$143:$H$143</c:f>
              <c:numCache>
                <c:formatCode>0</c:formatCode>
                <c:ptCount val="5"/>
                <c:pt idx="0">
                  <c:v>23.673469388571426</c:v>
                </c:pt>
                <c:pt idx="1">
                  <c:v>37.521137026326528</c:v>
                </c:pt>
                <c:pt idx="2">
                  <c:v>88.75</c:v>
                </c:pt>
                <c:pt idx="3">
                  <c:v>91.612244897714291</c:v>
                </c:pt>
                <c:pt idx="4">
                  <c:v>5.3977597701428577</c:v>
                </c:pt>
              </c:numCache>
            </c:numRef>
          </c:val>
          <c:extLst>
            <c:ext xmlns:c16="http://schemas.microsoft.com/office/drawing/2014/chart" uri="{C3380CC4-5D6E-409C-BE32-E72D297353CC}">
              <c16:uniqueId val="{00000001-95FC-4FAE-99C3-C7924B6FA63E}"/>
            </c:ext>
          </c:extLst>
        </c:ser>
        <c:ser>
          <c:idx val="2"/>
          <c:order val="2"/>
          <c:tx>
            <c:strRef>
              <c:f>Categories_barcharts!$C$144</c:f>
              <c:strCache>
                <c:ptCount val="1"/>
                <c:pt idx="0">
                  <c:v>EU Average</c:v>
                </c:pt>
              </c:strCache>
              <c:extLst xmlns:c15="http://schemas.microsoft.com/office/drawing/2012/chart"/>
            </c:strRef>
          </c:tx>
          <c:spPr>
            <a:solidFill>
              <a:schemeClr val="accent3"/>
            </a:solidFill>
            <a:ln>
              <a:noFill/>
            </a:ln>
            <a:effectLst/>
          </c:spPr>
          <c:invertIfNegative val="0"/>
          <c:cat>
            <c:strRef>
              <c:f>Categories_barcharts!$D$141:$H$141</c:f>
              <c:strCache>
                <c:ptCount val="5"/>
                <c:pt idx="0">
                  <c:v>LACIT</c:v>
                </c:pt>
                <c:pt idx="1">
                  <c:v>Loopholes and Gaps</c:v>
                </c:pt>
                <c:pt idx="2">
                  <c:v>Transparency</c:v>
                </c:pt>
                <c:pt idx="3">
                  <c:v>Anti-Avoidance</c:v>
                </c:pt>
                <c:pt idx="4">
                  <c:v>Double Tax Treaty Aggressiveness </c:v>
                </c:pt>
              </c:strCache>
              <c:extLst xmlns:c15="http://schemas.microsoft.com/office/drawing/2012/chart"/>
            </c:strRef>
          </c:cat>
          <c:val>
            <c:numRef>
              <c:f>Categories_barcharts!$D$144:$H$144</c:f>
              <c:numCache>
                <c:formatCode>0</c:formatCode>
                <c:ptCount val="5"/>
                <c:pt idx="0">
                  <c:v>54.554795917821437</c:v>
                </c:pt>
                <c:pt idx="1">
                  <c:v>45.649708454795928</c:v>
                </c:pt>
                <c:pt idx="2">
                  <c:v>76.36904761904762</c:v>
                </c:pt>
                <c:pt idx="3">
                  <c:v>82.107142857142861</c:v>
                </c:pt>
                <c:pt idx="4">
                  <c:v>34.269388676607143</c:v>
                </c:pt>
              </c:numCache>
              <c:extLst xmlns:c15="http://schemas.microsoft.com/office/drawing/2012/chart"/>
            </c:numRef>
          </c:val>
          <c:extLst xmlns:c15="http://schemas.microsoft.com/office/drawing/2012/chart">
            <c:ext xmlns:c16="http://schemas.microsoft.com/office/drawing/2014/chart" uri="{C3380CC4-5D6E-409C-BE32-E72D297353CC}">
              <c16:uniqueId val="{00000002-95FC-4FAE-99C3-C7924B6FA63E}"/>
            </c:ext>
          </c:extLst>
        </c:ser>
        <c:ser>
          <c:idx val="4"/>
          <c:order val="4"/>
          <c:tx>
            <c:strRef>
              <c:f>Categories_barcharts!$C$146</c:f>
              <c:strCache>
                <c:ptCount val="1"/>
                <c:pt idx="0">
                  <c:v>OECD Average</c:v>
                </c:pt>
              </c:strCache>
            </c:strRef>
          </c:tx>
          <c:spPr>
            <a:solidFill>
              <a:schemeClr val="accent5"/>
            </a:solidFill>
            <a:ln>
              <a:noFill/>
            </a:ln>
            <a:effectLst/>
          </c:spPr>
          <c:invertIfNegative val="0"/>
          <c:cat>
            <c:strRef>
              <c:f>Categories_barcharts!$D$141:$H$141</c:f>
              <c:strCache>
                <c:ptCount val="5"/>
                <c:pt idx="0">
                  <c:v>LACIT</c:v>
                </c:pt>
                <c:pt idx="1">
                  <c:v>Loopholes and Gaps</c:v>
                </c:pt>
                <c:pt idx="2">
                  <c:v>Transparency</c:v>
                </c:pt>
                <c:pt idx="3">
                  <c:v>Anti-Avoidance</c:v>
                </c:pt>
                <c:pt idx="4">
                  <c:v>Double Tax Treaty Aggressiveness </c:v>
                </c:pt>
              </c:strCache>
            </c:strRef>
          </c:cat>
          <c:val>
            <c:numRef>
              <c:f>Categories_barcharts!$D$146:$H$146</c:f>
              <c:numCache>
                <c:formatCode>0</c:formatCode>
                <c:ptCount val="5"/>
                <c:pt idx="0">
                  <c:v>53.431657141960002</c:v>
                </c:pt>
                <c:pt idx="1">
                  <c:v>46.334816326514286</c:v>
                </c:pt>
                <c:pt idx="2">
                  <c:v>76.266666666666666</c:v>
                </c:pt>
                <c:pt idx="3">
                  <c:v>79.474285714320004</c:v>
                </c:pt>
                <c:pt idx="4">
                  <c:v>35.831075135399992</c:v>
                </c:pt>
              </c:numCache>
            </c:numRef>
          </c:val>
          <c:extLst>
            <c:ext xmlns:c16="http://schemas.microsoft.com/office/drawing/2014/chart" uri="{C3380CC4-5D6E-409C-BE32-E72D297353CC}">
              <c16:uniqueId val="{00000003-95FC-4FAE-99C3-C7924B6FA63E}"/>
            </c:ext>
          </c:extLst>
        </c:ser>
        <c:dLbls>
          <c:showLegendKey val="0"/>
          <c:showVal val="0"/>
          <c:showCatName val="0"/>
          <c:showSerName val="0"/>
          <c:showPercent val="0"/>
          <c:showBubbleSize val="0"/>
        </c:dLbls>
        <c:gapWidth val="150"/>
        <c:axId val="1251762888"/>
        <c:axId val="1251769776"/>
        <c:extLst>
          <c:ext xmlns:c15="http://schemas.microsoft.com/office/drawing/2012/chart" uri="{02D57815-91ED-43cb-92C2-25804820EDAC}">
            <c15:filteredBarSeries>
              <c15:ser>
                <c:idx val="3"/>
                <c:order val="3"/>
                <c:tx>
                  <c:strRef>
                    <c:extLst>
                      <c:ext uri="{02D57815-91ED-43cb-92C2-25804820EDAC}">
                        <c15:formulaRef>
                          <c15:sqref>Categories_barcharts!$C$145</c15:sqref>
                        </c15:formulaRef>
                      </c:ext>
                    </c:extLst>
                    <c:strCache>
                      <c:ptCount val="1"/>
                      <c:pt idx="0">
                        <c:v>EU &amp; dependencies</c:v>
                      </c:pt>
                    </c:strCache>
                  </c:strRef>
                </c:tx>
                <c:spPr>
                  <a:solidFill>
                    <a:schemeClr val="accent4"/>
                  </a:solidFill>
                  <a:ln>
                    <a:noFill/>
                  </a:ln>
                  <a:effectLst/>
                </c:spPr>
                <c:invertIfNegative val="0"/>
                <c:cat>
                  <c:strRef>
                    <c:extLst>
                      <c:ext uri="{02D57815-91ED-43cb-92C2-25804820EDAC}">
                        <c15:formulaRef>
                          <c15:sqref>Categories_barcharts!$D$141:$H$141</c15:sqref>
                        </c15:formulaRef>
                      </c:ext>
                    </c:extLst>
                    <c:strCache>
                      <c:ptCount val="5"/>
                      <c:pt idx="0">
                        <c:v>LACIT</c:v>
                      </c:pt>
                      <c:pt idx="1">
                        <c:v>Loopholes and Gaps</c:v>
                      </c:pt>
                      <c:pt idx="2">
                        <c:v>Transparency</c:v>
                      </c:pt>
                      <c:pt idx="3">
                        <c:v>Anti-Avoidance</c:v>
                      </c:pt>
                      <c:pt idx="4">
                        <c:v>Double Tax Treaty Aggressiveness </c:v>
                      </c:pt>
                    </c:strCache>
                  </c:strRef>
                </c:cat>
                <c:val>
                  <c:numRef>
                    <c:extLst>
                      <c:ext uri="{02D57815-91ED-43cb-92C2-25804820EDAC}">
                        <c15:formulaRef>
                          <c15:sqref>Categories_barcharts!$D$145:$H$145</c15:sqref>
                        </c15:formulaRef>
                      </c:ext>
                    </c:extLst>
                    <c:numCache>
                      <c:formatCode>0</c:formatCode>
                      <c:ptCount val="5"/>
                      <c:pt idx="0">
                        <c:v>67.474071428224988</c:v>
                      </c:pt>
                      <c:pt idx="1">
                        <c:v>57.247525510178562</c:v>
                      </c:pt>
                      <c:pt idx="2">
                        <c:v>82.333333333333343</c:v>
                      </c:pt>
                      <c:pt idx="3">
                        <c:v>86.839285714249996</c:v>
                      </c:pt>
                      <c:pt idx="4">
                        <c:v>44.078073191549997</c:v>
                      </c:pt>
                    </c:numCache>
                  </c:numRef>
                </c:val>
                <c:extLst>
                  <c:ext xmlns:c16="http://schemas.microsoft.com/office/drawing/2014/chart" uri="{C3380CC4-5D6E-409C-BE32-E72D297353CC}">
                    <c16:uniqueId val="{00000005-95FC-4FAE-99C3-C7924B6FA63E}"/>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Categories_barcharts!$C$147</c15:sqref>
                        </c15:formulaRef>
                      </c:ext>
                    </c:extLst>
                    <c:strCache>
                      <c:ptCount val="1"/>
                      <c:pt idx="0">
                        <c:v>Average OECD &amp; dependencies</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Categories_barcharts!$D$141:$H$141</c15:sqref>
                        </c15:formulaRef>
                      </c:ext>
                    </c:extLst>
                    <c:strCache>
                      <c:ptCount val="5"/>
                      <c:pt idx="0">
                        <c:v>LACIT</c:v>
                      </c:pt>
                      <c:pt idx="1">
                        <c:v>Loopholes and Gaps</c:v>
                      </c:pt>
                      <c:pt idx="2">
                        <c:v>Transparency</c:v>
                      </c:pt>
                      <c:pt idx="3">
                        <c:v>Anti-Avoidance</c:v>
                      </c:pt>
                      <c:pt idx="4">
                        <c:v>Double Tax Treaty Aggressiveness </c:v>
                      </c:pt>
                    </c:strCache>
                  </c:strRef>
                </c:cat>
                <c:val>
                  <c:numRef>
                    <c:extLst xmlns:c15="http://schemas.microsoft.com/office/drawing/2012/chart">
                      <c:ext xmlns:c15="http://schemas.microsoft.com/office/drawing/2012/chart" uri="{02D57815-91ED-43cb-92C2-25804820EDAC}">
                        <c15:formulaRef>
                          <c15:sqref>Categories_barcharts!$D$147:$H$147</c15:sqref>
                        </c15:formulaRef>
                      </c:ext>
                    </c:extLst>
                    <c:numCache>
                      <c:formatCode>0</c:formatCode>
                      <c:ptCount val="5"/>
                      <c:pt idx="0">
                        <c:v>67.76270270213513</c:v>
                      </c:pt>
                      <c:pt idx="1">
                        <c:v>58.650799779343622</c:v>
                      </c:pt>
                      <c:pt idx="2">
                        <c:v>82.747747747747738</c:v>
                      </c:pt>
                      <c:pt idx="3">
                        <c:v>85.444015444000001</c:v>
                      </c:pt>
                      <c:pt idx="4">
                        <c:v>45.928565489243248</c:v>
                      </c:pt>
                    </c:numCache>
                  </c:numRef>
                </c:val>
                <c:extLst xmlns:c15="http://schemas.microsoft.com/office/drawing/2012/chart">
                  <c:ext xmlns:c16="http://schemas.microsoft.com/office/drawing/2014/chart" uri="{C3380CC4-5D6E-409C-BE32-E72D297353CC}">
                    <c16:uniqueId val="{00000006-95FC-4FAE-99C3-C7924B6FA63E}"/>
                  </c:ext>
                </c:extLst>
              </c15:ser>
            </c15:filteredBarSeries>
          </c:ext>
        </c:extLst>
      </c:barChart>
      <c:lineChart>
        <c:grouping val="standard"/>
        <c:varyColors val="0"/>
        <c:ser>
          <c:idx val="6"/>
          <c:order val="6"/>
          <c:tx>
            <c:strRef>
              <c:f>Categories_barcharts!$C$148</c:f>
              <c:strCache>
                <c:ptCount val="1"/>
                <c:pt idx="0">
                  <c:v>Best performer</c:v>
                </c:pt>
              </c:strCache>
            </c:strRef>
          </c:tx>
          <c:spPr>
            <a:ln w="28575" cap="rnd">
              <a:solidFill>
                <a:srgbClr val="00B050"/>
              </a:solidFill>
              <a:round/>
            </a:ln>
            <a:effectLst/>
          </c:spPr>
          <c:marker>
            <c:symbol val="none"/>
          </c:marker>
          <c:cat>
            <c:strRef>
              <c:f>Categories_barcharts!$D$141:$H$141</c:f>
              <c:strCache>
                <c:ptCount val="5"/>
                <c:pt idx="0">
                  <c:v>LACIT</c:v>
                </c:pt>
                <c:pt idx="1">
                  <c:v>Loopholes and Gaps</c:v>
                </c:pt>
                <c:pt idx="2">
                  <c:v>Transparency</c:v>
                </c:pt>
                <c:pt idx="3">
                  <c:v>Anti-Avoidance</c:v>
                </c:pt>
                <c:pt idx="4">
                  <c:v>Double Tax Treaty Aggressiveness </c:v>
                </c:pt>
              </c:strCache>
            </c:strRef>
          </c:cat>
          <c:val>
            <c:numRef>
              <c:f>Categories_barcharts!$D$148:$H$148</c:f>
              <c:numCache>
                <c:formatCode>0</c:formatCode>
                <c:ptCount val="5"/>
                <c:pt idx="0">
                  <c:v>1.628571429</c:v>
                </c:pt>
                <c:pt idx="1">
                  <c:v>10.102040815714286</c:v>
                </c:pt>
                <c:pt idx="2">
                  <c:v>58.333333333333336</c:v>
                </c:pt>
                <c:pt idx="3">
                  <c:v>27.857142857999996</c:v>
                </c:pt>
                <c:pt idx="4">
                  <c:v>0</c:v>
                </c:pt>
              </c:numCache>
            </c:numRef>
          </c:val>
          <c:smooth val="0"/>
          <c:extLst>
            <c:ext xmlns:c16="http://schemas.microsoft.com/office/drawing/2014/chart" uri="{C3380CC4-5D6E-409C-BE32-E72D297353CC}">
              <c16:uniqueId val="{00000004-95FC-4FAE-99C3-C7924B6FA63E}"/>
            </c:ext>
          </c:extLst>
        </c:ser>
        <c:dLbls>
          <c:showLegendKey val="0"/>
          <c:showVal val="0"/>
          <c:showCatName val="0"/>
          <c:showSerName val="0"/>
          <c:showPercent val="0"/>
          <c:showBubbleSize val="0"/>
        </c:dLbls>
        <c:marker val="1"/>
        <c:smooth val="0"/>
        <c:axId val="1251762888"/>
        <c:axId val="1251769776"/>
      </c:lineChart>
      <c:catAx>
        <c:axId val="125176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769776"/>
        <c:crosses val="autoZero"/>
        <c:auto val="1"/>
        <c:lblAlgn val="ctr"/>
        <c:lblOffset val="100"/>
        <c:noMultiLvlLbl val="0"/>
      </c:catAx>
      <c:valAx>
        <c:axId val="125176977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 Score</a:t>
                </a:r>
              </a:p>
            </c:rich>
          </c:tx>
          <c:layout>
            <c:manualLayout>
              <c:xMode val="edge"/>
              <c:yMode val="edge"/>
              <c:x val="3.3281630844227784E-2"/>
              <c:y val="0.2501581663376298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1762888"/>
        <c:crosses val="autoZero"/>
        <c:crossBetween val="between"/>
        <c:majorUnit val="20"/>
      </c:valAx>
      <c:spPr>
        <a:noFill/>
        <a:ln>
          <a:noFill/>
        </a:ln>
        <a:effectLst/>
      </c:spPr>
    </c:plotArea>
    <c:legend>
      <c:legendPos val="r"/>
      <c:layout>
        <c:manualLayout>
          <c:xMode val="edge"/>
          <c:yMode val="edge"/>
          <c:x val="0.75585247168721681"/>
          <c:y val="0.11635973504280019"/>
          <c:w val="0.24089826707558762"/>
          <c:h val="0.814331629598931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lgn="just">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590328986654444E-2"/>
          <c:y val="4.8387096774193547E-2"/>
          <c:w val="0.87615923009623797"/>
          <c:h val="0.54136684023368042"/>
        </c:manualLayout>
      </c:layout>
      <c:barChart>
        <c:barDir val="col"/>
        <c:grouping val="clustered"/>
        <c:varyColors val="0"/>
        <c:ser>
          <c:idx val="0"/>
          <c:order val="0"/>
          <c:tx>
            <c:strRef>
              <c:f>Categories_barcharts!$D$42</c:f>
              <c:strCache>
                <c:ptCount val="1"/>
                <c:pt idx="0">
                  <c:v>Statutory tax rate (%)</c:v>
                </c:pt>
              </c:strCache>
            </c:strRef>
          </c:tx>
          <c:spPr>
            <a:pattFill prst="pct25">
              <a:fgClr>
                <a:schemeClr val="tx1"/>
              </a:fgClr>
              <a:bgClr>
                <a:schemeClr val="bg1"/>
              </a:bgClr>
            </a:pattFill>
            <a:ln>
              <a:noFill/>
            </a:ln>
            <a:effectLst/>
          </c:spPr>
          <c:invertIfNegative val="0"/>
          <c:dLbls>
            <c:dLbl>
              <c:idx val="0"/>
              <c:layout>
                <c:manualLayout>
                  <c:x val="6.6137566137566134E-3"/>
                  <c:y val="-4.03225806451612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23-4F1E-8CBB-9656E9BCB767}"/>
                </c:ext>
              </c:extLst>
            </c:dLbl>
            <c:dLbl>
              <c:idx val="1"/>
              <c:layout>
                <c:manualLayout>
                  <c:x val="8.818342151675505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23-4F1E-8CBB-9656E9BCB767}"/>
                </c:ext>
              </c:extLst>
            </c:dLbl>
            <c:dLbl>
              <c:idx val="2"/>
              <c:layout>
                <c:manualLayout>
                  <c:x val="6.6137566137565735E-3"/>
                  <c:y val="-3.696193860392901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23-4F1E-8CBB-9656E9BCB767}"/>
                </c:ext>
              </c:extLst>
            </c:dLbl>
            <c:dLbl>
              <c:idx val="3"/>
              <c:layout>
                <c:manualLayout>
                  <c:x val="6.613756613756613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23-4F1E-8CBB-9656E9BCB767}"/>
                </c:ext>
              </c:extLst>
            </c:dLbl>
            <c:dLbl>
              <c:idx val="4"/>
              <c:layout>
                <c:manualLayout>
                  <c:x val="4.4091710758377024E-3"/>
                  <c:y val="-3.696193860392901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23-4F1E-8CBB-9656E9BCB767}"/>
                </c:ext>
              </c:extLst>
            </c:dLbl>
            <c:dLbl>
              <c:idx val="5"/>
              <c:layout>
                <c:manualLayout>
                  <c:x val="8.8183421516754845E-3"/>
                  <c:y val="4.03225806451612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723-4F1E-8CBB-9656E9BCB767}"/>
                </c:ext>
              </c:extLst>
            </c:dLbl>
            <c:dLbl>
              <c:idx val="6"/>
              <c:layout>
                <c:manualLayout>
                  <c:x val="6.6137566137565327E-3"/>
                  <c:y val="4.032258064516110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723-4F1E-8CBB-9656E9BCB767}"/>
                </c:ext>
              </c:extLst>
            </c:dLbl>
            <c:dLbl>
              <c:idx val="14"/>
              <c:layout>
                <c:manualLayout>
                  <c:x val="8.771929824561243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23-4F1E-8CBB-9656E9BCB7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Categories_barcharts!$C$43:$C$57</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c:v>
                </c:pt>
                <c:pt idx="11">
                  <c:v>EU &amp; dependencies</c:v>
                </c:pt>
                <c:pt idx="12">
                  <c:v>OECD</c:v>
                </c:pt>
                <c:pt idx="13">
                  <c:v>OECD &amp; dependencies</c:v>
                </c:pt>
                <c:pt idx="14">
                  <c:v>Best performer (France)</c:v>
                </c:pt>
              </c:strCache>
            </c:strRef>
          </c:cat>
          <c:val>
            <c:numRef>
              <c:f>Categories_barcharts!$D$43:$D$57</c:f>
              <c:numCache>
                <c:formatCode>General</c:formatCode>
                <c:ptCount val="15"/>
                <c:pt idx="0">
                  <c:v>22</c:v>
                </c:pt>
                <c:pt idx="1">
                  <c:v>27</c:v>
                </c:pt>
                <c:pt idx="2">
                  <c:v>25</c:v>
                </c:pt>
                <c:pt idx="3">
                  <c:v>30</c:v>
                </c:pt>
                <c:pt idx="4">
                  <c:v>25</c:v>
                </c:pt>
                <c:pt idx="5">
                  <c:v>28</c:v>
                </c:pt>
                <c:pt idx="6">
                  <c:v>30</c:v>
                </c:pt>
                <c:pt idx="7">
                  <c:v>15</c:v>
                </c:pt>
                <c:pt idx="8">
                  <c:v>30</c:v>
                </c:pt>
                <c:pt idx="9" formatCode="0">
                  <c:v>25.777777777777779</c:v>
                </c:pt>
                <c:pt idx="10" formatCode="0">
                  <c:v>21.861428571428572</c:v>
                </c:pt>
                <c:pt idx="11" formatCode="0">
                  <c:v>17.478000000000002</c:v>
                </c:pt>
                <c:pt idx="12" formatCode="0">
                  <c:v>22.700800000000001</c:v>
                </c:pt>
                <c:pt idx="13" formatCode="0">
                  <c:v>17.689729729729731</c:v>
                </c:pt>
                <c:pt idx="14" formatCode="0">
                  <c:v>34.43</c:v>
                </c:pt>
              </c:numCache>
            </c:numRef>
          </c:val>
          <c:extLst>
            <c:ext xmlns:c16="http://schemas.microsoft.com/office/drawing/2014/chart" uri="{C3380CC4-5D6E-409C-BE32-E72D297353CC}">
              <c16:uniqueId val="{00000008-2723-4F1E-8CBB-9656E9BCB767}"/>
            </c:ext>
          </c:extLst>
        </c:ser>
        <c:ser>
          <c:idx val="1"/>
          <c:order val="1"/>
          <c:tx>
            <c:strRef>
              <c:f>Categories_barcharts!$E$42</c:f>
              <c:strCache>
                <c:ptCount val="1"/>
                <c:pt idx="0">
                  <c:v>LACIT rate (%)</c:v>
                </c:pt>
              </c:strCache>
            </c:strRef>
          </c:tx>
          <c:spPr>
            <a:solidFill>
              <a:schemeClr val="tx1">
                <a:lumMod val="65000"/>
                <a:lumOff val="35000"/>
              </a:schemeClr>
            </a:solidFill>
            <a:ln>
              <a:noFill/>
              <a:prstDash val="sysDot"/>
            </a:ln>
            <a:effectLst/>
          </c:spPr>
          <c:invertIfNegative val="0"/>
          <c:dPt>
            <c:idx val="0"/>
            <c:invertIfNegative val="0"/>
            <c:bubble3D val="0"/>
            <c:spPr>
              <a:solidFill>
                <a:srgbClr val="EBE60B"/>
              </a:solidFill>
              <a:ln>
                <a:noFill/>
                <a:prstDash val="sysDot"/>
              </a:ln>
              <a:effectLst/>
            </c:spPr>
            <c:extLst>
              <c:ext xmlns:c16="http://schemas.microsoft.com/office/drawing/2014/chart" uri="{C3380CC4-5D6E-409C-BE32-E72D297353CC}">
                <c16:uniqueId val="{0000000A-2723-4F1E-8CBB-9656E9BCB767}"/>
              </c:ext>
            </c:extLst>
          </c:dPt>
          <c:dPt>
            <c:idx val="1"/>
            <c:invertIfNegative val="0"/>
            <c:bubble3D val="0"/>
            <c:spPr>
              <a:solidFill>
                <a:srgbClr val="92D050"/>
              </a:solidFill>
              <a:ln>
                <a:noFill/>
                <a:prstDash val="sysDot"/>
              </a:ln>
              <a:effectLst/>
            </c:spPr>
            <c:extLst>
              <c:ext xmlns:c16="http://schemas.microsoft.com/office/drawing/2014/chart" uri="{C3380CC4-5D6E-409C-BE32-E72D297353CC}">
                <c16:uniqueId val="{0000000C-2723-4F1E-8CBB-9656E9BCB767}"/>
              </c:ext>
            </c:extLst>
          </c:dPt>
          <c:dPt>
            <c:idx val="2"/>
            <c:invertIfNegative val="0"/>
            <c:bubble3D val="0"/>
            <c:spPr>
              <a:solidFill>
                <a:srgbClr val="92D050"/>
              </a:solidFill>
              <a:ln>
                <a:noFill/>
                <a:prstDash val="sysDot"/>
              </a:ln>
              <a:effectLst/>
            </c:spPr>
            <c:extLst>
              <c:ext xmlns:c16="http://schemas.microsoft.com/office/drawing/2014/chart" uri="{C3380CC4-5D6E-409C-BE32-E72D297353CC}">
                <c16:uniqueId val="{0000000E-2723-4F1E-8CBB-9656E9BCB767}"/>
              </c:ext>
            </c:extLst>
          </c:dPt>
          <c:dPt>
            <c:idx val="3"/>
            <c:invertIfNegative val="0"/>
            <c:bubble3D val="0"/>
            <c:spPr>
              <a:solidFill>
                <a:srgbClr val="92D050"/>
              </a:solidFill>
              <a:ln>
                <a:noFill/>
                <a:prstDash val="sysDot"/>
              </a:ln>
              <a:effectLst/>
            </c:spPr>
            <c:extLst>
              <c:ext xmlns:c16="http://schemas.microsoft.com/office/drawing/2014/chart" uri="{C3380CC4-5D6E-409C-BE32-E72D297353CC}">
                <c16:uniqueId val="{00000010-2723-4F1E-8CBB-9656E9BCB767}"/>
              </c:ext>
            </c:extLst>
          </c:dPt>
          <c:dPt>
            <c:idx val="4"/>
            <c:invertIfNegative val="0"/>
            <c:bubble3D val="0"/>
            <c:spPr>
              <a:solidFill>
                <a:srgbClr val="EBE60B"/>
              </a:solidFill>
              <a:ln>
                <a:noFill/>
                <a:prstDash val="sysDot"/>
              </a:ln>
              <a:effectLst/>
            </c:spPr>
            <c:extLst>
              <c:ext xmlns:c16="http://schemas.microsoft.com/office/drawing/2014/chart" uri="{C3380CC4-5D6E-409C-BE32-E72D297353CC}">
                <c16:uniqueId val="{00000012-2723-4F1E-8CBB-9656E9BCB767}"/>
              </c:ext>
            </c:extLst>
          </c:dPt>
          <c:dPt>
            <c:idx val="5"/>
            <c:invertIfNegative val="0"/>
            <c:bubble3D val="0"/>
            <c:spPr>
              <a:solidFill>
                <a:srgbClr val="92D050"/>
              </a:solidFill>
              <a:ln>
                <a:noFill/>
                <a:prstDash val="sysDot"/>
              </a:ln>
              <a:effectLst/>
            </c:spPr>
            <c:extLst>
              <c:ext xmlns:c16="http://schemas.microsoft.com/office/drawing/2014/chart" uri="{C3380CC4-5D6E-409C-BE32-E72D297353CC}">
                <c16:uniqueId val="{00000014-2723-4F1E-8CBB-9656E9BCB767}"/>
              </c:ext>
            </c:extLst>
          </c:dPt>
          <c:dPt>
            <c:idx val="6"/>
            <c:invertIfNegative val="0"/>
            <c:bubble3D val="0"/>
            <c:spPr>
              <a:solidFill>
                <a:srgbClr val="92D050"/>
              </a:solidFill>
              <a:ln>
                <a:noFill/>
                <a:prstDash val="sysDot"/>
              </a:ln>
              <a:effectLst/>
            </c:spPr>
            <c:extLst>
              <c:ext xmlns:c16="http://schemas.microsoft.com/office/drawing/2014/chart" uri="{C3380CC4-5D6E-409C-BE32-E72D297353CC}">
                <c16:uniqueId val="{00000016-2723-4F1E-8CBB-9656E9BCB767}"/>
              </c:ext>
            </c:extLst>
          </c:dPt>
          <c:dPt>
            <c:idx val="7"/>
            <c:invertIfNegative val="0"/>
            <c:bubble3D val="0"/>
            <c:spPr>
              <a:solidFill>
                <a:srgbClr val="EBE60B"/>
              </a:solidFill>
              <a:ln>
                <a:noFill/>
                <a:prstDash val="sysDot"/>
              </a:ln>
              <a:effectLst/>
            </c:spPr>
            <c:extLst>
              <c:ext xmlns:c16="http://schemas.microsoft.com/office/drawing/2014/chart" uri="{C3380CC4-5D6E-409C-BE32-E72D297353CC}">
                <c16:uniqueId val="{00000018-2723-4F1E-8CBB-9656E9BCB767}"/>
              </c:ext>
            </c:extLst>
          </c:dPt>
          <c:dPt>
            <c:idx val="8"/>
            <c:invertIfNegative val="0"/>
            <c:bubble3D val="0"/>
            <c:spPr>
              <a:solidFill>
                <a:srgbClr val="92D050"/>
              </a:solidFill>
              <a:ln>
                <a:noFill/>
                <a:prstDash val="sysDot"/>
              </a:ln>
              <a:effectLst/>
            </c:spPr>
            <c:extLst>
              <c:ext xmlns:c16="http://schemas.microsoft.com/office/drawing/2014/chart" uri="{C3380CC4-5D6E-409C-BE32-E72D297353CC}">
                <c16:uniqueId val="{0000001A-2723-4F1E-8CBB-9656E9BCB767}"/>
              </c:ext>
            </c:extLst>
          </c:dPt>
          <c:dPt>
            <c:idx val="9"/>
            <c:invertIfNegative val="0"/>
            <c:bubble3D val="0"/>
            <c:spPr>
              <a:solidFill>
                <a:srgbClr val="EBE60B"/>
              </a:solidFill>
              <a:ln>
                <a:noFill/>
                <a:prstDash val="sysDot"/>
              </a:ln>
              <a:effectLst/>
            </c:spPr>
            <c:extLst>
              <c:ext xmlns:c16="http://schemas.microsoft.com/office/drawing/2014/chart" uri="{C3380CC4-5D6E-409C-BE32-E72D297353CC}">
                <c16:uniqueId val="{0000001C-2723-4F1E-8CBB-9656E9BCB767}"/>
              </c:ext>
            </c:extLst>
          </c:dPt>
          <c:dPt>
            <c:idx val="10"/>
            <c:invertIfNegative val="0"/>
            <c:bubble3D val="0"/>
            <c:spPr>
              <a:solidFill>
                <a:srgbClr val="FF9933"/>
              </a:solidFill>
              <a:ln>
                <a:noFill/>
                <a:prstDash val="sysDot"/>
              </a:ln>
              <a:effectLst/>
            </c:spPr>
            <c:extLst>
              <c:ext xmlns:c16="http://schemas.microsoft.com/office/drawing/2014/chart" uri="{C3380CC4-5D6E-409C-BE32-E72D297353CC}">
                <c16:uniqueId val="{0000001E-2723-4F1E-8CBB-9656E9BCB767}"/>
              </c:ext>
            </c:extLst>
          </c:dPt>
          <c:dPt>
            <c:idx val="11"/>
            <c:invertIfNegative val="0"/>
            <c:bubble3D val="0"/>
            <c:spPr>
              <a:solidFill>
                <a:srgbClr val="FF9933"/>
              </a:solidFill>
              <a:ln>
                <a:noFill/>
                <a:prstDash val="sysDot"/>
              </a:ln>
              <a:effectLst/>
            </c:spPr>
            <c:extLst>
              <c:ext xmlns:c16="http://schemas.microsoft.com/office/drawing/2014/chart" uri="{C3380CC4-5D6E-409C-BE32-E72D297353CC}">
                <c16:uniqueId val="{00000020-2723-4F1E-8CBB-9656E9BCB767}"/>
              </c:ext>
            </c:extLst>
          </c:dPt>
          <c:dPt>
            <c:idx val="12"/>
            <c:invertIfNegative val="0"/>
            <c:bubble3D val="0"/>
            <c:spPr>
              <a:solidFill>
                <a:srgbClr val="FF9933"/>
              </a:solidFill>
              <a:ln>
                <a:noFill/>
                <a:prstDash val="sysDot"/>
              </a:ln>
              <a:effectLst/>
            </c:spPr>
            <c:extLst>
              <c:ext xmlns:c16="http://schemas.microsoft.com/office/drawing/2014/chart" uri="{C3380CC4-5D6E-409C-BE32-E72D297353CC}">
                <c16:uniqueId val="{00000022-2723-4F1E-8CBB-9656E9BCB767}"/>
              </c:ext>
            </c:extLst>
          </c:dPt>
          <c:dPt>
            <c:idx val="13"/>
            <c:invertIfNegative val="0"/>
            <c:bubble3D val="0"/>
            <c:spPr>
              <a:solidFill>
                <a:srgbClr val="FF9933"/>
              </a:solidFill>
              <a:ln>
                <a:noFill/>
                <a:prstDash val="sysDot"/>
              </a:ln>
              <a:effectLst/>
            </c:spPr>
            <c:extLst>
              <c:ext xmlns:c16="http://schemas.microsoft.com/office/drawing/2014/chart" uri="{C3380CC4-5D6E-409C-BE32-E72D297353CC}">
                <c16:uniqueId val="{00000024-2723-4F1E-8CBB-9656E9BCB767}"/>
              </c:ext>
            </c:extLst>
          </c:dPt>
          <c:dPt>
            <c:idx val="14"/>
            <c:invertIfNegative val="0"/>
            <c:bubble3D val="0"/>
            <c:spPr>
              <a:solidFill>
                <a:srgbClr val="92D050"/>
              </a:solidFill>
              <a:ln>
                <a:noFill/>
                <a:prstDash val="sysDot"/>
              </a:ln>
              <a:effectLst/>
            </c:spPr>
            <c:extLst>
              <c:ext xmlns:c16="http://schemas.microsoft.com/office/drawing/2014/chart" uri="{C3380CC4-5D6E-409C-BE32-E72D297353CC}">
                <c16:uniqueId val="{00000026-2723-4F1E-8CBB-9656E9BCB767}"/>
              </c:ext>
            </c:extLst>
          </c:dPt>
          <c:dLbls>
            <c:dLbl>
              <c:idx val="0"/>
              <c:delete val="1"/>
              <c:extLst>
                <c:ext xmlns:c15="http://schemas.microsoft.com/office/drawing/2012/chart" uri="{CE6537A1-D6FC-4f65-9D91-7224C49458BB}"/>
                <c:ext xmlns:c16="http://schemas.microsoft.com/office/drawing/2014/chart" uri="{C3380CC4-5D6E-409C-BE32-E72D297353CC}">
                  <c16:uniqueId val="{0000000A-2723-4F1E-8CBB-9656E9BCB767}"/>
                </c:ext>
              </c:extLst>
            </c:dLbl>
            <c:dLbl>
              <c:idx val="1"/>
              <c:delete val="1"/>
              <c:extLst>
                <c:ext xmlns:c15="http://schemas.microsoft.com/office/drawing/2012/chart" uri="{CE6537A1-D6FC-4f65-9D91-7224C49458BB}"/>
                <c:ext xmlns:c16="http://schemas.microsoft.com/office/drawing/2014/chart" uri="{C3380CC4-5D6E-409C-BE32-E72D297353CC}">
                  <c16:uniqueId val="{0000000C-2723-4F1E-8CBB-9656E9BCB767}"/>
                </c:ext>
              </c:extLst>
            </c:dLbl>
            <c:dLbl>
              <c:idx val="2"/>
              <c:delete val="1"/>
              <c:extLst>
                <c:ext xmlns:c15="http://schemas.microsoft.com/office/drawing/2012/chart" uri="{CE6537A1-D6FC-4f65-9D91-7224C49458BB}"/>
                <c:ext xmlns:c16="http://schemas.microsoft.com/office/drawing/2014/chart" uri="{C3380CC4-5D6E-409C-BE32-E72D297353CC}">
                  <c16:uniqueId val="{0000000E-2723-4F1E-8CBB-9656E9BCB767}"/>
                </c:ext>
              </c:extLst>
            </c:dLbl>
            <c:dLbl>
              <c:idx val="3"/>
              <c:delete val="1"/>
              <c:extLst>
                <c:ext xmlns:c15="http://schemas.microsoft.com/office/drawing/2012/chart" uri="{CE6537A1-D6FC-4f65-9D91-7224C49458BB}"/>
                <c:ext xmlns:c16="http://schemas.microsoft.com/office/drawing/2014/chart" uri="{C3380CC4-5D6E-409C-BE32-E72D297353CC}">
                  <c16:uniqueId val="{00000010-2723-4F1E-8CBB-9656E9BCB767}"/>
                </c:ext>
              </c:extLst>
            </c:dLbl>
            <c:dLbl>
              <c:idx val="4"/>
              <c:delete val="1"/>
              <c:extLst>
                <c:ext xmlns:c15="http://schemas.microsoft.com/office/drawing/2012/chart" uri="{CE6537A1-D6FC-4f65-9D91-7224C49458BB}"/>
                <c:ext xmlns:c16="http://schemas.microsoft.com/office/drawing/2014/chart" uri="{C3380CC4-5D6E-409C-BE32-E72D297353CC}">
                  <c16:uniqueId val="{00000012-2723-4F1E-8CBB-9656E9BCB767}"/>
                </c:ext>
              </c:extLst>
            </c:dLbl>
            <c:dLbl>
              <c:idx val="5"/>
              <c:delete val="1"/>
              <c:extLst>
                <c:ext xmlns:c15="http://schemas.microsoft.com/office/drawing/2012/chart" uri="{CE6537A1-D6FC-4f65-9D91-7224C49458BB}"/>
                <c:ext xmlns:c16="http://schemas.microsoft.com/office/drawing/2014/chart" uri="{C3380CC4-5D6E-409C-BE32-E72D297353CC}">
                  <c16:uniqueId val="{00000014-2723-4F1E-8CBB-9656E9BCB767}"/>
                </c:ext>
              </c:extLst>
            </c:dLbl>
            <c:dLbl>
              <c:idx val="6"/>
              <c:delete val="1"/>
              <c:extLst>
                <c:ext xmlns:c15="http://schemas.microsoft.com/office/drawing/2012/chart" uri="{CE6537A1-D6FC-4f65-9D91-7224C49458BB}"/>
                <c:ext xmlns:c16="http://schemas.microsoft.com/office/drawing/2014/chart" uri="{C3380CC4-5D6E-409C-BE32-E72D297353CC}">
                  <c16:uniqueId val="{00000016-2723-4F1E-8CBB-9656E9BCB767}"/>
                </c:ext>
              </c:extLst>
            </c:dLbl>
            <c:dLbl>
              <c:idx val="14"/>
              <c:delete val="1"/>
              <c:extLst>
                <c:ext xmlns:c15="http://schemas.microsoft.com/office/drawing/2012/chart" uri="{CE6537A1-D6FC-4f65-9D91-7224C49458BB}"/>
                <c:ext xmlns:c16="http://schemas.microsoft.com/office/drawing/2014/chart" uri="{C3380CC4-5D6E-409C-BE32-E72D297353CC}">
                  <c16:uniqueId val="{00000026-2723-4F1E-8CBB-9656E9BCB7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Categories_barcharts!$C$43:$C$57</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c:v>
                </c:pt>
                <c:pt idx="11">
                  <c:v>EU &amp; dependencies</c:v>
                </c:pt>
                <c:pt idx="12">
                  <c:v>OECD</c:v>
                </c:pt>
                <c:pt idx="13">
                  <c:v>OECD &amp; dependencies</c:v>
                </c:pt>
                <c:pt idx="14">
                  <c:v>Best performer (France)</c:v>
                </c:pt>
              </c:strCache>
            </c:strRef>
          </c:cat>
          <c:val>
            <c:numRef>
              <c:f>Categories_barcharts!$E$43:$E$57</c:f>
              <c:numCache>
                <c:formatCode>General</c:formatCode>
                <c:ptCount val="15"/>
                <c:pt idx="0">
                  <c:v>22</c:v>
                </c:pt>
                <c:pt idx="1">
                  <c:v>27</c:v>
                </c:pt>
                <c:pt idx="2">
                  <c:v>25</c:v>
                </c:pt>
                <c:pt idx="3">
                  <c:v>30</c:v>
                </c:pt>
                <c:pt idx="4">
                  <c:v>25</c:v>
                </c:pt>
                <c:pt idx="5">
                  <c:v>28</c:v>
                </c:pt>
                <c:pt idx="6">
                  <c:v>30</c:v>
                </c:pt>
                <c:pt idx="7">
                  <c:v>0</c:v>
                </c:pt>
                <c:pt idx="8">
                  <c:v>0</c:v>
                </c:pt>
                <c:pt idx="9" formatCode="0">
                  <c:v>20.777777777777779</c:v>
                </c:pt>
                <c:pt idx="10" formatCode="0">
                  <c:v>15.90582142857143</c:v>
                </c:pt>
                <c:pt idx="11" formatCode="0">
                  <c:v>11.384074999999999</c:v>
                </c:pt>
                <c:pt idx="12" formatCode="0">
                  <c:v>16.298920000000003</c:v>
                </c:pt>
                <c:pt idx="13" formatCode="0">
                  <c:v>11.283054054054055</c:v>
                </c:pt>
                <c:pt idx="14" formatCode="0">
                  <c:v>34.43</c:v>
                </c:pt>
              </c:numCache>
            </c:numRef>
          </c:val>
          <c:extLst>
            <c:ext xmlns:c16="http://schemas.microsoft.com/office/drawing/2014/chart" uri="{C3380CC4-5D6E-409C-BE32-E72D297353CC}">
              <c16:uniqueId val="{00000027-2723-4F1E-8CBB-9656E9BCB767}"/>
            </c:ext>
          </c:extLst>
        </c:ser>
        <c:dLbls>
          <c:dLblPos val="outEnd"/>
          <c:showLegendKey val="0"/>
          <c:showVal val="1"/>
          <c:showCatName val="0"/>
          <c:showSerName val="0"/>
          <c:showPercent val="0"/>
          <c:showBubbleSize val="0"/>
        </c:dLbls>
        <c:gapWidth val="219"/>
        <c:overlap val="-27"/>
        <c:axId val="1062001376"/>
        <c:axId val="1061999736"/>
      </c:barChart>
      <c:catAx>
        <c:axId val="106200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999736"/>
        <c:crosses val="autoZero"/>
        <c:auto val="1"/>
        <c:lblAlgn val="ctr"/>
        <c:lblOffset val="100"/>
        <c:noMultiLvlLbl val="0"/>
      </c:catAx>
      <c:valAx>
        <c:axId val="1061999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CIT Rate</a:t>
                </a:r>
              </a:p>
            </c:rich>
          </c:tx>
          <c:layout>
            <c:manualLayout>
              <c:xMode val="edge"/>
              <c:yMode val="edge"/>
              <c:x val="1.1661806050391596E-2"/>
              <c:y val="0.3438904983770639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2001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99632383089274"/>
          <c:y val="9.9364927514901738E-2"/>
          <c:w val="0.83187467177061558"/>
          <c:h val="0.53552559451195358"/>
        </c:manualLayout>
      </c:layout>
      <c:barChart>
        <c:barDir val="col"/>
        <c:grouping val="clustered"/>
        <c:varyColors val="0"/>
        <c:ser>
          <c:idx val="0"/>
          <c:order val="0"/>
          <c:tx>
            <c:strRef>
              <c:f>Categories_barcharts!$D$25</c:f>
              <c:strCache>
                <c:ptCount val="1"/>
                <c:pt idx="0">
                  <c:v>Category 1: LACIT</c:v>
                </c:pt>
              </c:strCache>
            </c:strRef>
          </c:tx>
          <c:spPr>
            <a:solidFill>
              <a:schemeClr val="accent1"/>
            </a:solidFill>
            <a:ln>
              <a:noFill/>
            </a:ln>
            <a:effectLst/>
          </c:spPr>
          <c:invertIfNegative val="0"/>
          <c:dPt>
            <c:idx val="0"/>
            <c:invertIfNegative val="0"/>
            <c:bubble3D val="0"/>
            <c:spPr>
              <a:solidFill>
                <a:srgbClr val="EBE60B"/>
              </a:solidFill>
              <a:ln>
                <a:noFill/>
              </a:ln>
              <a:effectLst/>
            </c:spPr>
            <c:extLst>
              <c:ext xmlns:c16="http://schemas.microsoft.com/office/drawing/2014/chart" uri="{C3380CC4-5D6E-409C-BE32-E72D297353CC}">
                <c16:uniqueId val="{00000001-AEC6-459D-97ED-DABBBE689CDC}"/>
              </c:ext>
            </c:extLst>
          </c:dPt>
          <c:dPt>
            <c:idx val="1"/>
            <c:invertIfNegative val="0"/>
            <c:bubble3D val="0"/>
            <c:spPr>
              <a:solidFill>
                <a:srgbClr val="92D050"/>
              </a:solidFill>
              <a:ln>
                <a:noFill/>
              </a:ln>
              <a:effectLst/>
            </c:spPr>
            <c:extLst>
              <c:ext xmlns:c16="http://schemas.microsoft.com/office/drawing/2014/chart" uri="{C3380CC4-5D6E-409C-BE32-E72D297353CC}">
                <c16:uniqueId val="{00000003-AEC6-459D-97ED-DABBBE689CDC}"/>
              </c:ext>
            </c:extLst>
          </c:dPt>
          <c:dPt>
            <c:idx val="2"/>
            <c:invertIfNegative val="0"/>
            <c:bubble3D val="0"/>
            <c:spPr>
              <a:solidFill>
                <a:srgbClr val="EBE60B"/>
              </a:solidFill>
              <a:ln>
                <a:noFill/>
              </a:ln>
              <a:effectLst/>
            </c:spPr>
            <c:extLst>
              <c:ext xmlns:c16="http://schemas.microsoft.com/office/drawing/2014/chart" uri="{C3380CC4-5D6E-409C-BE32-E72D297353CC}">
                <c16:uniqueId val="{00000005-AEC6-459D-97ED-DABBBE689CDC}"/>
              </c:ext>
            </c:extLst>
          </c:dPt>
          <c:dPt>
            <c:idx val="3"/>
            <c:invertIfNegative val="0"/>
            <c:bubble3D val="0"/>
            <c:spPr>
              <a:solidFill>
                <a:srgbClr val="92D050"/>
              </a:solidFill>
              <a:ln>
                <a:noFill/>
              </a:ln>
              <a:effectLst/>
            </c:spPr>
            <c:extLst>
              <c:ext xmlns:c16="http://schemas.microsoft.com/office/drawing/2014/chart" uri="{C3380CC4-5D6E-409C-BE32-E72D297353CC}">
                <c16:uniqueId val="{00000007-AEC6-459D-97ED-DABBBE689CDC}"/>
              </c:ext>
            </c:extLst>
          </c:dPt>
          <c:dPt>
            <c:idx val="4"/>
            <c:invertIfNegative val="0"/>
            <c:bubble3D val="0"/>
            <c:spPr>
              <a:solidFill>
                <a:srgbClr val="EBE60B"/>
              </a:solidFill>
              <a:ln>
                <a:noFill/>
              </a:ln>
              <a:effectLst/>
            </c:spPr>
            <c:extLst>
              <c:ext xmlns:c16="http://schemas.microsoft.com/office/drawing/2014/chart" uri="{C3380CC4-5D6E-409C-BE32-E72D297353CC}">
                <c16:uniqueId val="{00000009-AEC6-459D-97ED-DABBBE689CDC}"/>
              </c:ext>
            </c:extLst>
          </c:dPt>
          <c:dPt>
            <c:idx val="5"/>
            <c:invertIfNegative val="0"/>
            <c:bubble3D val="0"/>
            <c:spPr>
              <a:solidFill>
                <a:srgbClr val="92D050"/>
              </a:solidFill>
              <a:ln>
                <a:noFill/>
              </a:ln>
              <a:effectLst/>
            </c:spPr>
            <c:extLst>
              <c:ext xmlns:c16="http://schemas.microsoft.com/office/drawing/2014/chart" uri="{C3380CC4-5D6E-409C-BE32-E72D297353CC}">
                <c16:uniqueId val="{0000000B-AEC6-459D-97ED-DABBBE689CDC}"/>
              </c:ext>
            </c:extLst>
          </c:dPt>
          <c:dPt>
            <c:idx val="6"/>
            <c:invertIfNegative val="0"/>
            <c:bubble3D val="0"/>
            <c:spPr>
              <a:solidFill>
                <a:srgbClr val="92D050"/>
              </a:solidFill>
              <a:ln>
                <a:noFill/>
              </a:ln>
              <a:effectLst/>
            </c:spPr>
            <c:extLst>
              <c:ext xmlns:c16="http://schemas.microsoft.com/office/drawing/2014/chart" uri="{C3380CC4-5D6E-409C-BE32-E72D297353CC}">
                <c16:uniqueId val="{0000000D-AEC6-459D-97ED-DABBBE689CDC}"/>
              </c:ext>
            </c:extLst>
          </c:dPt>
          <c:dPt>
            <c:idx val="7"/>
            <c:invertIfNegative val="0"/>
            <c:bubble3D val="0"/>
            <c:spPr>
              <a:solidFill>
                <a:srgbClr val="C00000"/>
              </a:solidFill>
              <a:ln>
                <a:noFill/>
              </a:ln>
              <a:effectLst/>
            </c:spPr>
            <c:extLst>
              <c:ext xmlns:c16="http://schemas.microsoft.com/office/drawing/2014/chart" uri="{C3380CC4-5D6E-409C-BE32-E72D297353CC}">
                <c16:uniqueId val="{0000000F-AEC6-459D-97ED-DABBBE689CDC}"/>
              </c:ext>
            </c:extLst>
          </c:dPt>
          <c:dPt>
            <c:idx val="8"/>
            <c:invertIfNegative val="0"/>
            <c:bubble3D val="0"/>
            <c:spPr>
              <a:solidFill>
                <a:srgbClr val="C00000"/>
              </a:solidFill>
              <a:ln>
                <a:noFill/>
              </a:ln>
              <a:effectLst/>
            </c:spPr>
            <c:extLst>
              <c:ext xmlns:c16="http://schemas.microsoft.com/office/drawing/2014/chart" uri="{C3380CC4-5D6E-409C-BE32-E72D297353CC}">
                <c16:uniqueId val="{00000011-AEC6-459D-97ED-DABBBE689CDC}"/>
              </c:ext>
            </c:extLst>
          </c:dPt>
          <c:dPt>
            <c:idx val="9"/>
            <c:invertIfNegative val="0"/>
            <c:bubble3D val="0"/>
            <c:spPr>
              <a:solidFill>
                <a:srgbClr val="EBE60B"/>
              </a:solidFill>
              <a:ln>
                <a:noFill/>
              </a:ln>
              <a:effectLst/>
            </c:spPr>
            <c:extLst>
              <c:ext xmlns:c16="http://schemas.microsoft.com/office/drawing/2014/chart" uri="{C3380CC4-5D6E-409C-BE32-E72D297353CC}">
                <c16:uniqueId val="{00000013-AEC6-459D-97ED-DABBBE689CDC}"/>
              </c:ext>
            </c:extLst>
          </c:dPt>
          <c:dPt>
            <c:idx val="10"/>
            <c:invertIfNegative val="0"/>
            <c:bubble3D val="0"/>
            <c:spPr>
              <a:solidFill>
                <a:srgbClr val="FF9933"/>
              </a:solidFill>
              <a:ln>
                <a:noFill/>
              </a:ln>
              <a:effectLst/>
            </c:spPr>
            <c:extLst>
              <c:ext xmlns:c16="http://schemas.microsoft.com/office/drawing/2014/chart" uri="{C3380CC4-5D6E-409C-BE32-E72D297353CC}">
                <c16:uniqueId val="{00000015-AEC6-459D-97ED-DABBBE689CDC}"/>
              </c:ext>
            </c:extLst>
          </c:dPt>
          <c:dPt>
            <c:idx val="11"/>
            <c:invertIfNegative val="0"/>
            <c:bubble3D val="0"/>
            <c:spPr>
              <a:solidFill>
                <a:srgbClr val="FF9933"/>
              </a:solidFill>
              <a:ln>
                <a:noFill/>
              </a:ln>
              <a:effectLst/>
            </c:spPr>
            <c:extLst>
              <c:ext xmlns:c16="http://schemas.microsoft.com/office/drawing/2014/chart" uri="{C3380CC4-5D6E-409C-BE32-E72D297353CC}">
                <c16:uniqueId val="{00000017-AEC6-459D-97ED-DABBBE689CDC}"/>
              </c:ext>
            </c:extLst>
          </c:dPt>
          <c:dPt>
            <c:idx val="12"/>
            <c:invertIfNegative val="0"/>
            <c:bubble3D val="0"/>
            <c:spPr>
              <a:solidFill>
                <a:srgbClr val="FF9933"/>
              </a:solidFill>
              <a:ln>
                <a:noFill/>
              </a:ln>
              <a:effectLst/>
            </c:spPr>
            <c:extLst>
              <c:ext xmlns:c16="http://schemas.microsoft.com/office/drawing/2014/chart" uri="{C3380CC4-5D6E-409C-BE32-E72D297353CC}">
                <c16:uniqueId val="{00000019-AEC6-459D-97ED-DABBBE689CDC}"/>
              </c:ext>
            </c:extLst>
          </c:dPt>
          <c:dPt>
            <c:idx val="13"/>
            <c:invertIfNegative val="0"/>
            <c:bubble3D val="0"/>
            <c:spPr>
              <a:solidFill>
                <a:srgbClr val="FF9933"/>
              </a:solidFill>
              <a:ln>
                <a:noFill/>
              </a:ln>
              <a:effectLst/>
            </c:spPr>
            <c:extLst>
              <c:ext xmlns:c16="http://schemas.microsoft.com/office/drawing/2014/chart" uri="{C3380CC4-5D6E-409C-BE32-E72D297353CC}">
                <c16:uniqueId val="{0000001B-AEC6-459D-97ED-DABBBE689CDC}"/>
              </c:ext>
            </c:extLst>
          </c:dPt>
          <c:dPt>
            <c:idx val="14"/>
            <c:invertIfNegative val="0"/>
            <c:bubble3D val="0"/>
            <c:spPr>
              <a:solidFill>
                <a:srgbClr val="92D050"/>
              </a:solidFill>
              <a:ln>
                <a:noFill/>
              </a:ln>
              <a:effectLst/>
            </c:spPr>
            <c:extLst>
              <c:ext xmlns:c16="http://schemas.microsoft.com/office/drawing/2014/chart" uri="{C3380CC4-5D6E-409C-BE32-E72D297353CC}">
                <c16:uniqueId val="{0000001D-AEC6-459D-97ED-DABBBE689C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Categories_barcharts!$C$26:$C$40</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c:v>
                </c:pt>
                <c:pt idx="11">
                  <c:v>EU &amp; dependencies</c:v>
                </c:pt>
                <c:pt idx="12">
                  <c:v>OECD</c:v>
                </c:pt>
                <c:pt idx="13">
                  <c:v>OECD &amp; dependencies</c:v>
                </c:pt>
                <c:pt idx="14">
                  <c:v>Best performer (France)</c:v>
                </c:pt>
              </c:strCache>
            </c:strRef>
          </c:cat>
          <c:val>
            <c:numRef>
              <c:f>Categories_barcharts!$D$26:$D$40</c:f>
              <c:numCache>
                <c:formatCode>0</c:formatCode>
                <c:ptCount val="15"/>
                <c:pt idx="0">
                  <c:v>37.142857139999997</c:v>
                </c:pt>
                <c:pt idx="1">
                  <c:v>22.85714286</c:v>
                </c:pt>
                <c:pt idx="2">
                  <c:v>28.571428569999998</c:v>
                </c:pt>
                <c:pt idx="3">
                  <c:v>14.28571429</c:v>
                </c:pt>
                <c:pt idx="4">
                  <c:v>28.571428569999998</c:v>
                </c:pt>
                <c:pt idx="5">
                  <c:v>20</c:v>
                </c:pt>
                <c:pt idx="6">
                  <c:v>14.28571429</c:v>
                </c:pt>
                <c:pt idx="7">
                  <c:v>100</c:v>
                </c:pt>
                <c:pt idx="8">
                  <c:v>100</c:v>
                </c:pt>
                <c:pt idx="9">
                  <c:v>40.634920635555559</c:v>
                </c:pt>
                <c:pt idx="10">
                  <c:v>54.554795917821437</c:v>
                </c:pt>
                <c:pt idx="11">
                  <c:v>67.474071428224988</c:v>
                </c:pt>
                <c:pt idx="12">
                  <c:v>53.431657141960002</c:v>
                </c:pt>
                <c:pt idx="13">
                  <c:v>67.76270270213513</c:v>
                </c:pt>
                <c:pt idx="14">
                  <c:v>2</c:v>
                </c:pt>
              </c:numCache>
            </c:numRef>
          </c:val>
          <c:extLst>
            <c:ext xmlns:c16="http://schemas.microsoft.com/office/drawing/2014/chart" uri="{C3380CC4-5D6E-409C-BE32-E72D297353CC}">
              <c16:uniqueId val="{0000001E-AEC6-459D-97ED-DABBBE689CDC}"/>
            </c:ext>
          </c:extLst>
        </c:ser>
        <c:dLbls>
          <c:dLblPos val="outEnd"/>
          <c:showLegendKey val="0"/>
          <c:showVal val="1"/>
          <c:showCatName val="0"/>
          <c:showSerName val="0"/>
          <c:showPercent val="0"/>
          <c:showBubbleSize val="0"/>
        </c:dLbls>
        <c:gapWidth val="219"/>
        <c:overlap val="-27"/>
        <c:axId val="868809600"/>
        <c:axId val="868812224"/>
      </c:barChart>
      <c:catAx>
        <c:axId val="868809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812224"/>
        <c:crosses val="autoZero"/>
        <c:auto val="1"/>
        <c:lblAlgn val="ctr"/>
        <c:lblOffset val="100"/>
        <c:noMultiLvlLbl val="0"/>
      </c:catAx>
      <c:valAx>
        <c:axId val="868812224"/>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 Score</a:t>
                </a:r>
              </a:p>
            </c:rich>
          </c:tx>
          <c:layout>
            <c:manualLayout>
              <c:xMode val="edge"/>
              <c:yMode val="edge"/>
              <c:x val="4.3853016046382191E-2"/>
              <c:y val="0.2657636393751751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809600"/>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37771721588204"/>
          <c:y val="7.7216220953611706E-2"/>
          <c:w val="0.82622240910336031"/>
          <c:h val="0.5491729018377286"/>
        </c:manualLayout>
      </c:layout>
      <c:barChart>
        <c:barDir val="col"/>
        <c:grouping val="clustered"/>
        <c:varyColors val="0"/>
        <c:ser>
          <c:idx val="0"/>
          <c:order val="0"/>
          <c:tx>
            <c:strRef>
              <c:f>Categories!$D$60</c:f>
              <c:strCache>
                <c:ptCount val="1"/>
                <c:pt idx="0">
                  <c:v>Category 2: Loopholes and Gaps</c:v>
                </c:pt>
              </c:strCache>
            </c:strRef>
          </c:tx>
          <c:spPr>
            <a:solidFill>
              <a:srgbClr val="0070C0"/>
            </a:solidFill>
            <a:ln>
              <a:noFill/>
            </a:ln>
            <a:effectLst/>
          </c:spPr>
          <c:invertIfNegative val="0"/>
          <c:dPt>
            <c:idx val="0"/>
            <c:invertIfNegative val="0"/>
            <c:bubble3D val="0"/>
            <c:spPr>
              <a:solidFill>
                <a:srgbClr val="EBE60B"/>
              </a:solidFill>
              <a:ln>
                <a:noFill/>
              </a:ln>
              <a:effectLst/>
            </c:spPr>
            <c:extLst>
              <c:ext xmlns:c16="http://schemas.microsoft.com/office/drawing/2014/chart" uri="{C3380CC4-5D6E-409C-BE32-E72D297353CC}">
                <c16:uniqueId val="{00000001-5EB7-48B6-A27C-7B60238FC875}"/>
              </c:ext>
            </c:extLst>
          </c:dPt>
          <c:dPt>
            <c:idx val="1"/>
            <c:invertIfNegative val="0"/>
            <c:bubble3D val="0"/>
            <c:spPr>
              <a:solidFill>
                <a:srgbClr val="92D050"/>
              </a:solidFill>
              <a:ln>
                <a:noFill/>
              </a:ln>
              <a:effectLst/>
            </c:spPr>
            <c:extLst>
              <c:ext xmlns:c16="http://schemas.microsoft.com/office/drawing/2014/chart" uri="{C3380CC4-5D6E-409C-BE32-E72D297353CC}">
                <c16:uniqueId val="{00000003-5EB7-48B6-A27C-7B60238FC875}"/>
              </c:ext>
            </c:extLst>
          </c:dPt>
          <c:dPt>
            <c:idx val="2"/>
            <c:invertIfNegative val="0"/>
            <c:bubble3D val="0"/>
            <c:spPr>
              <a:solidFill>
                <a:srgbClr val="EBE60B"/>
              </a:solidFill>
              <a:ln>
                <a:noFill/>
              </a:ln>
              <a:effectLst/>
            </c:spPr>
            <c:extLst>
              <c:ext xmlns:c16="http://schemas.microsoft.com/office/drawing/2014/chart" uri="{C3380CC4-5D6E-409C-BE32-E72D297353CC}">
                <c16:uniqueId val="{00000005-5EB7-48B6-A27C-7B60238FC875}"/>
              </c:ext>
            </c:extLst>
          </c:dPt>
          <c:dPt>
            <c:idx val="3"/>
            <c:invertIfNegative val="0"/>
            <c:bubble3D val="0"/>
            <c:spPr>
              <a:solidFill>
                <a:srgbClr val="FF9933"/>
              </a:solidFill>
              <a:ln>
                <a:noFill/>
              </a:ln>
              <a:effectLst/>
            </c:spPr>
            <c:extLst>
              <c:ext xmlns:c16="http://schemas.microsoft.com/office/drawing/2014/chart" uri="{C3380CC4-5D6E-409C-BE32-E72D297353CC}">
                <c16:uniqueId val="{00000007-5EB7-48B6-A27C-7B60238FC875}"/>
              </c:ext>
            </c:extLst>
          </c:dPt>
          <c:dPt>
            <c:idx val="4"/>
            <c:invertIfNegative val="0"/>
            <c:bubble3D val="0"/>
            <c:spPr>
              <a:solidFill>
                <a:srgbClr val="EBE60B"/>
              </a:solidFill>
              <a:ln>
                <a:noFill/>
              </a:ln>
              <a:effectLst/>
            </c:spPr>
            <c:extLst>
              <c:ext xmlns:c16="http://schemas.microsoft.com/office/drawing/2014/chart" uri="{C3380CC4-5D6E-409C-BE32-E72D297353CC}">
                <c16:uniqueId val="{00000009-5EB7-48B6-A27C-7B60238FC875}"/>
              </c:ext>
            </c:extLst>
          </c:dPt>
          <c:dPt>
            <c:idx val="5"/>
            <c:invertIfNegative val="0"/>
            <c:bubble3D val="0"/>
            <c:spPr>
              <a:solidFill>
                <a:srgbClr val="EBE60B"/>
              </a:solidFill>
              <a:ln>
                <a:noFill/>
              </a:ln>
              <a:effectLst/>
            </c:spPr>
            <c:extLst>
              <c:ext xmlns:c16="http://schemas.microsoft.com/office/drawing/2014/chart" uri="{C3380CC4-5D6E-409C-BE32-E72D297353CC}">
                <c16:uniqueId val="{0000000B-5EB7-48B6-A27C-7B60238FC875}"/>
              </c:ext>
            </c:extLst>
          </c:dPt>
          <c:dPt>
            <c:idx val="6"/>
            <c:invertIfNegative val="0"/>
            <c:bubble3D val="0"/>
            <c:spPr>
              <a:solidFill>
                <a:srgbClr val="EBE60B"/>
              </a:solidFill>
              <a:ln>
                <a:noFill/>
              </a:ln>
              <a:effectLst/>
            </c:spPr>
            <c:extLst>
              <c:ext xmlns:c16="http://schemas.microsoft.com/office/drawing/2014/chart" uri="{C3380CC4-5D6E-409C-BE32-E72D297353CC}">
                <c16:uniqueId val="{0000000D-5EB7-48B6-A27C-7B60238FC875}"/>
              </c:ext>
            </c:extLst>
          </c:dPt>
          <c:dPt>
            <c:idx val="7"/>
            <c:invertIfNegative val="0"/>
            <c:bubble3D val="0"/>
            <c:spPr>
              <a:solidFill>
                <a:srgbClr val="FF9933"/>
              </a:solidFill>
              <a:ln>
                <a:noFill/>
              </a:ln>
              <a:effectLst/>
            </c:spPr>
            <c:extLst>
              <c:ext xmlns:c16="http://schemas.microsoft.com/office/drawing/2014/chart" uri="{C3380CC4-5D6E-409C-BE32-E72D297353CC}">
                <c16:uniqueId val="{0000000F-5EB7-48B6-A27C-7B60238FC875}"/>
              </c:ext>
            </c:extLst>
          </c:dPt>
          <c:dPt>
            <c:idx val="8"/>
            <c:invertIfNegative val="0"/>
            <c:bubble3D val="0"/>
            <c:spPr>
              <a:solidFill>
                <a:srgbClr val="FF9933"/>
              </a:solidFill>
              <a:ln>
                <a:noFill/>
              </a:ln>
              <a:effectLst/>
            </c:spPr>
            <c:extLst>
              <c:ext xmlns:c16="http://schemas.microsoft.com/office/drawing/2014/chart" uri="{C3380CC4-5D6E-409C-BE32-E72D297353CC}">
                <c16:uniqueId val="{00000011-5EB7-48B6-A27C-7B60238FC875}"/>
              </c:ext>
            </c:extLst>
          </c:dPt>
          <c:dPt>
            <c:idx val="9"/>
            <c:invertIfNegative val="0"/>
            <c:bubble3D val="0"/>
            <c:spPr>
              <a:solidFill>
                <a:srgbClr val="EBE60B"/>
              </a:solidFill>
              <a:ln>
                <a:noFill/>
              </a:ln>
              <a:effectLst/>
            </c:spPr>
            <c:extLst>
              <c:ext xmlns:c16="http://schemas.microsoft.com/office/drawing/2014/chart" uri="{C3380CC4-5D6E-409C-BE32-E72D297353CC}">
                <c16:uniqueId val="{00000013-5EB7-48B6-A27C-7B60238FC875}"/>
              </c:ext>
            </c:extLst>
          </c:dPt>
          <c:dPt>
            <c:idx val="10"/>
            <c:invertIfNegative val="0"/>
            <c:bubble3D val="0"/>
            <c:spPr>
              <a:solidFill>
                <a:srgbClr val="EBE60B"/>
              </a:solidFill>
              <a:ln>
                <a:noFill/>
              </a:ln>
              <a:effectLst/>
            </c:spPr>
            <c:extLst>
              <c:ext xmlns:c16="http://schemas.microsoft.com/office/drawing/2014/chart" uri="{C3380CC4-5D6E-409C-BE32-E72D297353CC}">
                <c16:uniqueId val="{00000015-5EB7-48B6-A27C-7B60238FC875}"/>
              </c:ext>
            </c:extLst>
          </c:dPt>
          <c:dPt>
            <c:idx val="11"/>
            <c:invertIfNegative val="0"/>
            <c:bubble3D val="0"/>
            <c:spPr>
              <a:solidFill>
                <a:srgbClr val="FF9933"/>
              </a:solidFill>
              <a:ln>
                <a:noFill/>
              </a:ln>
              <a:effectLst/>
            </c:spPr>
            <c:extLst>
              <c:ext xmlns:c16="http://schemas.microsoft.com/office/drawing/2014/chart" uri="{C3380CC4-5D6E-409C-BE32-E72D297353CC}">
                <c16:uniqueId val="{00000017-5EB7-48B6-A27C-7B60238FC875}"/>
              </c:ext>
            </c:extLst>
          </c:dPt>
          <c:dPt>
            <c:idx val="12"/>
            <c:invertIfNegative val="0"/>
            <c:bubble3D val="0"/>
            <c:spPr>
              <a:solidFill>
                <a:srgbClr val="EBE60B"/>
              </a:solidFill>
              <a:ln>
                <a:noFill/>
              </a:ln>
              <a:effectLst/>
            </c:spPr>
            <c:extLst>
              <c:ext xmlns:c16="http://schemas.microsoft.com/office/drawing/2014/chart" uri="{C3380CC4-5D6E-409C-BE32-E72D297353CC}">
                <c16:uniqueId val="{00000019-5EB7-48B6-A27C-7B60238FC875}"/>
              </c:ext>
            </c:extLst>
          </c:dPt>
          <c:dPt>
            <c:idx val="13"/>
            <c:invertIfNegative val="0"/>
            <c:bubble3D val="0"/>
            <c:spPr>
              <a:solidFill>
                <a:srgbClr val="FF9933"/>
              </a:solidFill>
              <a:ln>
                <a:noFill/>
              </a:ln>
              <a:effectLst/>
            </c:spPr>
            <c:extLst>
              <c:ext xmlns:c16="http://schemas.microsoft.com/office/drawing/2014/chart" uri="{C3380CC4-5D6E-409C-BE32-E72D297353CC}">
                <c16:uniqueId val="{0000001B-5EB7-48B6-A27C-7B60238FC875}"/>
              </c:ext>
            </c:extLst>
          </c:dPt>
          <c:dPt>
            <c:idx val="14"/>
            <c:invertIfNegative val="0"/>
            <c:bubble3D val="0"/>
            <c:spPr>
              <a:solidFill>
                <a:srgbClr val="92D050"/>
              </a:solidFill>
              <a:ln>
                <a:noFill/>
              </a:ln>
              <a:effectLst/>
            </c:spPr>
            <c:extLst>
              <c:ext xmlns:c16="http://schemas.microsoft.com/office/drawing/2014/chart" uri="{C3380CC4-5D6E-409C-BE32-E72D297353CC}">
                <c16:uniqueId val="{0000001D-5EB7-48B6-A27C-7B60238FC8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Categories!$C$61:$C$75</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c:v>
                </c:pt>
                <c:pt idx="11">
                  <c:v>EU &amp; dependencies</c:v>
                </c:pt>
                <c:pt idx="12">
                  <c:v>OECD</c:v>
                </c:pt>
                <c:pt idx="13">
                  <c:v>OECD &amp; dependencies</c:v>
                </c:pt>
                <c:pt idx="14">
                  <c:v>Best performer (Poland)</c:v>
                </c:pt>
              </c:strCache>
            </c:strRef>
          </c:cat>
          <c:val>
            <c:numRef>
              <c:f>Categories!$D$61:$D$75</c:f>
              <c:numCache>
                <c:formatCode>0</c:formatCode>
                <c:ptCount val="15"/>
                <c:pt idx="0">
                  <c:v>47.321428571428569</c:v>
                </c:pt>
                <c:pt idx="1">
                  <c:v>16.581632652857142</c:v>
                </c:pt>
                <c:pt idx="2">
                  <c:v>38.64795918428571</c:v>
                </c:pt>
                <c:pt idx="3">
                  <c:v>60.714285714285715</c:v>
                </c:pt>
                <c:pt idx="4">
                  <c:v>32.39795918428571</c:v>
                </c:pt>
                <c:pt idx="5">
                  <c:v>32.928571428571431</c:v>
                </c:pt>
                <c:pt idx="6">
                  <c:v>34.056122448571429</c:v>
                </c:pt>
                <c:pt idx="7">
                  <c:v>75</c:v>
                </c:pt>
                <c:pt idx="8">
                  <c:v>62.5</c:v>
                </c:pt>
                <c:pt idx="9">
                  <c:v>44.460884353809526</c:v>
                </c:pt>
                <c:pt idx="10">
                  <c:v>45.649708454795928</c:v>
                </c:pt>
                <c:pt idx="11">
                  <c:v>57.247525510178562</c:v>
                </c:pt>
                <c:pt idx="12">
                  <c:v>46.334816326514286</c:v>
                </c:pt>
                <c:pt idx="13">
                  <c:v>58.650799779343622</c:v>
                </c:pt>
                <c:pt idx="14">
                  <c:v>10.102040815714286</c:v>
                </c:pt>
              </c:numCache>
            </c:numRef>
          </c:val>
          <c:extLst>
            <c:ext xmlns:c16="http://schemas.microsoft.com/office/drawing/2014/chart" uri="{C3380CC4-5D6E-409C-BE32-E72D297353CC}">
              <c16:uniqueId val="{0000001E-5EB7-48B6-A27C-7B60238FC875}"/>
            </c:ext>
          </c:extLst>
        </c:ser>
        <c:dLbls>
          <c:dLblPos val="outEnd"/>
          <c:showLegendKey val="0"/>
          <c:showVal val="1"/>
          <c:showCatName val="0"/>
          <c:showSerName val="0"/>
          <c:showPercent val="0"/>
          <c:showBubbleSize val="0"/>
        </c:dLbls>
        <c:gapWidth val="219"/>
        <c:overlap val="-27"/>
        <c:axId val="952793040"/>
        <c:axId val="952794024"/>
      </c:barChart>
      <c:catAx>
        <c:axId val="95279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94024"/>
        <c:crosses val="autoZero"/>
        <c:auto val="1"/>
        <c:lblAlgn val="ctr"/>
        <c:lblOffset val="100"/>
        <c:noMultiLvlLbl val="0"/>
      </c:catAx>
      <c:valAx>
        <c:axId val="952794024"/>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 Score</a:t>
                </a:r>
              </a:p>
            </c:rich>
          </c:tx>
          <c:layout>
            <c:manualLayout>
              <c:xMode val="edge"/>
              <c:yMode val="edge"/>
              <c:x val="4.100280728813175E-2"/>
              <c:y val="0.262127049701502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93040"/>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689646413775585"/>
          <c:y val="8.0971659919028341E-2"/>
          <c:w val="0.81863190071207725"/>
          <c:h val="0.59918837068443365"/>
        </c:manualLayout>
      </c:layout>
      <c:barChart>
        <c:barDir val="col"/>
        <c:grouping val="clustered"/>
        <c:varyColors val="0"/>
        <c:ser>
          <c:idx val="0"/>
          <c:order val="0"/>
          <c:tx>
            <c:strRef>
              <c:f>'Cat_radarcharts Editing 3-2020'!$A$33</c:f>
              <c:strCache>
                <c:ptCount val="1"/>
                <c:pt idx="0">
                  <c:v>African Average</c:v>
                </c:pt>
              </c:strCache>
            </c:strRef>
          </c:tx>
          <c:spPr>
            <a:solidFill>
              <a:schemeClr val="accent1"/>
            </a:solidFill>
            <a:ln>
              <a:noFill/>
            </a:ln>
            <a:effectLst/>
          </c:spPr>
          <c:invertIfNegative val="0"/>
          <c:cat>
            <c:strRef>
              <c:f>'Cat_radarcharts Editing 3-2020'!$B$32:$H$32</c:f>
              <c:strCache>
                <c:ptCount val="7"/>
                <c:pt idx="0">
                  <c:v>Foreign Investment Income Treatment</c:v>
                </c:pt>
                <c:pt idx="1">
                  <c:v>Loss Utilisation</c:v>
                </c:pt>
                <c:pt idx="2">
                  <c:v>Capital Gains Tax</c:v>
                </c:pt>
                <c:pt idx="3">
                  <c:v>Sectoral Exemptions</c:v>
                </c:pt>
                <c:pt idx="4">
                  <c:v>Tax Holidays &amp; Economic Zones</c:v>
                </c:pt>
                <c:pt idx="5">
                  <c:v>Patent Boxes</c:v>
                </c:pt>
                <c:pt idx="6">
                  <c:v>Fictional Interest Deduction</c:v>
                </c:pt>
              </c:strCache>
            </c:strRef>
          </c:cat>
          <c:val>
            <c:numRef>
              <c:f>'Cat_radarcharts Editing 3-2020'!$B$33:$H$33</c:f>
              <c:numCache>
                <c:formatCode>0</c:formatCode>
                <c:ptCount val="7"/>
                <c:pt idx="0">
                  <c:v>50</c:v>
                </c:pt>
                <c:pt idx="1">
                  <c:v>55.555555555555557</c:v>
                </c:pt>
                <c:pt idx="2">
                  <c:v>75.809523810000002</c:v>
                </c:pt>
                <c:pt idx="3">
                  <c:v>47.916666666666664</c:v>
                </c:pt>
                <c:pt idx="4">
                  <c:v>48.611111111111114</c:v>
                </c:pt>
                <c:pt idx="5">
                  <c:v>33.333333333333336</c:v>
                </c:pt>
                <c:pt idx="6">
                  <c:v>0</c:v>
                </c:pt>
              </c:numCache>
            </c:numRef>
          </c:val>
          <c:extLst>
            <c:ext xmlns:c16="http://schemas.microsoft.com/office/drawing/2014/chart" uri="{C3380CC4-5D6E-409C-BE32-E72D297353CC}">
              <c16:uniqueId val="{00000000-68D2-4FC3-ADE4-676B504B7621}"/>
            </c:ext>
          </c:extLst>
        </c:ser>
        <c:ser>
          <c:idx val="1"/>
          <c:order val="1"/>
          <c:tx>
            <c:strRef>
              <c:f>'Cat_radarcharts Editing 3-2020'!$A$34</c:f>
              <c:strCache>
                <c:ptCount val="1"/>
                <c:pt idx="0">
                  <c:v>EU</c:v>
                </c:pt>
              </c:strCache>
            </c:strRef>
          </c:tx>
          <c:spPr>
            <a:solidFill>
              <a:schemeClr val="accent2"/>
            </a:solidFill>
            <a:ln>
              <a:noFill/>
            </a:ln>
            <a:effectLst/>
          </c:spPr>
          <c:invertIfNegative val="0"/>
          <c:cat>
            <c:strRef>
              <c:f>'Cat_radarcharts Editing 3-2020'!$B$32:$H$32</c:f>
              <c:strCache>
                <c:ptCount val="7"/>
                <c:pt idx="0">
                  <c:v>Foreign Investment Income Treatment</c:v>
                </c:pt>
                <c:pt idx="1">
                  <c:v>Loss Utilisation</c:v>
                </c:pt>
                <c:pt idx="2">
                  <c:v>Capital Gains Tax</c:v>
                </c:pt>
                <c:pt idx="3">
                  <c:v>Sectoral Exemptions</c:v>
                </c:pt>
                <c:pt idx="4">
                  <c:v>Tax Holidays &amp; Economic Zones</c:v>
                </c:pt>
                <c:pt idx="5">
                  <c:v>Patent Boxes</c:v>
                </c:pt>
                <c:pt idx="6">
                  <c:v>Fictional Interest Deduction</c:v>
                </c:pt>
              </c:strCache>
            </c:strRef>
          </c:cat>
          <c:val>
            <c:numRef>
              <c:f>'Cat_radarcharts Editing 3-2020'!$B$34:$H$34</c:f>
              <c:numCache>
                <c:formatCode>0</c:formatCode>
                <c:ptCount val="7"/>
                <c:pt idx="0">
                  <c:v>65.178571428571431</c:v>
                </c:pt>
                <c:pt idx="1">
                  <c:v>38.392857142857146</c:v>
                </c:pt>
                <c:pt idx="2">
                  <c:v>92.137244897857144</c:v>
                </c:pt>
                <c:pt idx="3">
                  <c:v>45.535714285714285</c:v>
                </c:pt>
                <c:pt idx="4">
                  <c:v>11.160714285714286</c:v>
                </c:pt>
                <c:pt idx="5">
                  <c:v>52.857142857142854</c:v>
                </c:pt>
                <c:pt idx="6">
                  <c:v>14.285714285714286</c:v>
                </c:pt>
              </c:numCache>
            </c:numRef>
          </c:val>
          <c:extLst>
            <c:ext xmlns:c16="http://schemas.microsoft.com/office/drawing/2014/chart" uri="{C3380CC4-5D6E-409C-BE32-E72D297353CC}">
              <c16:uniqueId val="{00000001-68D2-4FC3-ADE4-676B504B7621}"/>
            </c:ext>
          </c:extLst>
        </c:ser>
        <c:ser>
          <c:idx val="2"/>
          <c:order val="2"/>
          <c:tx>
            <c:strRef>
              <c:f>'Cat_radarcharts Editing 3-2020'!$A$35</c:f>
              <c:strCache>
                <c:ptCount val="1"/>
                <c:pt idx="0">
                  <c:v>OECD</c:v>
                </c:pt>
              </c:strCache>
            </c:strRef>
          </c:tx>
          <c:spPr>
            <a:solidFill>
              <a:schemeClr val="accent3"/>
            </a:solidFill>
            <a:ln>
              <a:noFill/>
            </a:ln>
            <a:effectLst/>
          </c:spPr>
          <c:invertIfNegative val="0"/>
          <c:cat>
            <c:strRef>
              <c:f>'Cat_radarcharts Editing 3-2020'!$B$32:$H$32</c:f>
              <c:strCache>
                <c:ptCount val="7"/>
                <c:pt idx="0">
                  <c:v>Foreign Investment Income Treatment</c:v>
                </c:pt>
                <c:pt idx="1">
                  <c:v>Loss Utilisation</c:v>
                </c:pt>
                <c:pt idx="2">
                  <c:v>Capital Gains Tax</c:v>
                </c:pt>
                <c:pt idx="3">
                  <c:v>Sectoral Exemptions</c:v>
                </c:pt>
                <c:pt idx="4">
                  <c:v>Tax Holidays &amp; Economic Zones</c:v>
                </c:pt>
                <c:pt idx="5">
                  <c:v>Patent Boxes</c:v>
                </c:pt>
                <c:pt idx="6">
                  <c:v>Fictional Interest Deduction</c:v>
                </c:pt>
              </c:strCache>
            </c:strRef>
          </c:cat>
          <c:val>
            <c:numRef>
              <c:f>'Cat_radarcharts Editing 3-2020'!$B$35:$H$35</c:f>
              <c:numCache>
                <c:formatCode>0</c:formatCode>
                <c:ptCount val="7"/>
                <c:pt idx="0">
                  <c:v>64</c:v>
                </c:pt>
                <c:pt idx="1">
                  <c:v>43</c:v>
                </c:pt>
                <c:pt idx="2">
                  <c:v>90.393714285599998</c:v>
                </c:pt>
                <c:pt idx="3">
                  <c:v>48.75</c:v>
                </c:pt>
                <c:pt idx="4">
                  <c:v>11</c:v>
                </c:pt>
                <c:pt idx="5">
                  <c:v>59.2</c:v>
                </c:pt>
                <c:pt idx="6">
                  <c:v>8</c:v>
                </c:pt>
              </c:numCache>
            </c:numRef>
          </c:val>
          <c:extLst>
            <c:ext xmlns:c16="http://schemas.microsoft.com/office/drawing/2014/chart" uri="{C3380CC4-5D6E-409C-BE32-E72D297353CC}">
              <c16:uniqueId val="{00000002-68D2-4FC3-ADE4-676B504B7621}"/>
            </c:ext>
          </c:extLst>
        </c:ser>
        <c:dLbls>
          <c:showLegendKey val="0"/>
          <c:showVal val="0"/>
          <c:showCatName val="0"/>
          <c:showSerName val="0"/>
          <c:showPercent val="0"/>
          <c:showBubbleSize val="0"/>
        </c:dLbls>
        <c:gapWidth val="219"/>
        <c:axId val="996504784"/>
        <c:axId val="998711488"/>
      </c:barChart>
      <c:lineChart>
        <c:grouping val="standard"/>
        <c:varyColors val="0"/>
        <c:ser>
          <c:idx val="3"/>
          <c:order val="3"/>
          <c:tx>
            <c:strRef>
              <c:f>'Cat_radarcharts Editing 3-2020'!$A$36</c:f>
              <c:strCache>
                <c:ptCount val="1"/>
                <c:pt idx="0">
                  <c:v>Best performer</c:v>
                </c:pt>
              </c:strCache>
            </c:strRef>
          </c:tx>
          <c:spPr>
            <a:ln w="28575" cap="rnd">
              <a:solidFill>
                <a:schemeClr val="accent4"/>
              </a:solidFill>
              <a:round/>
            </a:ln>
            <a:effectLst/>
          </c:spPr>
          <c:marker>
            <c:symbol val="none"/>
          </c:marker>
          <c:cat>
            <c:strRef>
              <c:f>'Cat_radarcharts Editing 3-2020'!$B$32:$H$32</c:f>
              <c:strCache>
                <c:ptCount val="7"/>
                <c:pt idx="0">
                  <c:v>Foreign Investment Income Treatment</c:v>
                </c:pt>
                <c:pt idx="1">
                  <c:v>Loss Utilisation</c:v>
                </c:pt>
                <c:pt idx="2">
                  <c:v>Capital Gains Tax</c:v>
                </c:pt>
                <c:pt idx="3">
                  <c:v>Sectoral Exemptions</c:v>
                </c:pt>
                <c:pt idx="4">
                  <c:v>Tax Holidays &amp; Economic Zones</c:v>
                </c:pt>
                <c:pt idx="5">
                  <c:v>Patent Boxes</c:v>
                </c:pt>
                <c:pt idx="6">
                  <c:v>Fictional Interest Deduction</c:v>
                </c:pt>
              </c:strCache>
            </c:strRef>
          </c:cat>
          <c:val>
            <c:numRef>
              <c:f>'Cat_radarcharts Editing 3-2020'!$B$36:$H$36</c:f>
              <c:numCache>
                <c:formatCode>0</c:formatCode>
                <c:ptCount val="7"/>
                <c:pt idx="0">
                  <c:v>0</c:v>
                </c:pt>
                <c:pt idx="1">
                  <c:v>0</c:v>
                </c:pt>
                <c:pt idx="2">
                  <c:v>28.571428569999998</c:v>
                </c:pt>
                <c:pt idx="3">
                  <c:v>0</c:v>
                </c:pt>
                <c:pt idx="4">
                  <c:v>0</c:v>
                </c:pt>
                <c:pt idx="5">
                  <c:v>0</c:v>
                </c:pt>
                <c:pt idx="6">
                  <c:v>0</c:v>
                </c:pt>
              </c:numCache>
            </c:numRef>
          </c:val>
          <c:smooth val="0"/>
          <c:extLst>
            <c:ext xmlns:c16="http://schemas.microsoft.com/office/drawing/2014/chart" uri="{C3380CC4-5D6E-409C-BE32-E72D297353CC}">
              <c16:uniqueId val="{00000003-68D2-4FC3-ADE4-676B504B7621}"/>
            </c:ext>
          </c:extLst>
        </c:ser>
        <c:dLbls>
          <c:showLegendKey val="0"/>
          <c:showVal val="0"/>
          <c:showCatName val="0"/>
          <c:showSerName val="0"/>
          <c:showPercent val="0"/>
          <c:showBubbleSize val="0"/>
        </c:dLbls>
        <c:marker val="1"/>
        <c:smooth val="0"/>
        <c:axId val="996504784"/>
        <c:axId val="998711488"/>
      </c:lineChart>
      <c:catAx>
        <c:axId val="99650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711488"/>
        <c:crosses val="autoZero"/>
        <c:auto val="1"/>
        <c:lblAlgn val="ctr"/>
        <c:lblOffset val="100"/>
        <c:noMultiLvlLbl val="0"/>
      </c:catAx>
      <c:valAx>
        <c:axId val="998711488"/>
        <c:scaling>
          <c:orientation val="minMax"/>
        </c:scaling>
        <c:delete val="0"/>
        <c:axPos val="l"/>
        <c:title>
          <c:tx>
            <c:rich>
              <a:bodyPr rot="-54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r>
                  <a:rPr lang="en-GB" sz="750">
                    <a:latin typeface="Verdana" panose="020B0604030504040204" pitchFamily="34" charset="0"/>
                    <a:ea typeface="Verdana" panose="020B0604030504040204" pitchFamily="34" charset="0"/>
                    <a:cs typeface="Verdana" panose="020B0604030504040204" pitchFamily="34" charset="0"/>
                  </a:rPr>
                  <a:t>Haven</a:t>
                </a:r>
                <a:r>
                  <a:rPr lang="en-GB" sz="750" baseline="0">
                    <a:latin typeface="Verdana" panose="020B0604030504040204" pitchFamily="34" charset="0"/>
                    <a:ea typeface="Verdana" panose="020B0604030504040204" pitchFamily="34" charset="0"/>
                    <a:cs typeface="Verdana" panose="020B0604030504040204" pitchFamily="34" charset="0"/>
                  </a:rPr>
                  <a:t> Score</a:t>
                </a:r>
                <a:endParaRPr lang="en-GB" sz="750">
                  <a:latin typeface="Verdana" panose="020B0604030504040204" pitchFamily="34" charset="0"/>
                  <a:ea typeface="Verdana" panose="020B0604030504040204" pitchFamily="34" charset="0"/>
                  <a:cs typeface="Verdana" panose="020B0604030504040204" pitchFamily="34" charset="0"/>
                </a:endParaRPr>
              </a:p>
            </c:rich>
          </c:tx>
          <c:layout>
            <c:manualLayout>
              <c:xMode val="edge"/>
              <c:yMode val="edge"/>
              <c:x val="4.7352526429190779E-2"/>
              <c:y val="0.27961426886416524"/>
            </c:manualLayout>
          </c:layout>
          <c:overlay val="0"/>
          <c:spPr>
            <a:noFill/>
            <a:ln>
              <a:noFill/>
            </a:ln>
            <a:effectLst/>
          </c:spPr>
          <c:txPr>
            <a:bodyPr rot="-5400000" spcFirstLastPara="1" vertOverflow="ellipsis" vert="horz" wrap="square" anchor="ctr" anchorCtr="1"/>
            <a:lstStyle/>
            <a:p>
              <a:pPr>
                <a:defRPr sz="75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50478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35765967432669"/>
          <c:y val="0.11095937168499921"/>
          <c:w val="0.83231015910292405"/>
          <c:h val="0.51562488496842684"/>
        </c:manualLayout>
      </c:layout>
      <c:barChart>
        <c:barDir val="col"/>
        <c:grouping val="clustered"/>
        <c:varyColors val="0"/>
        <c:ser>
          <c:idx val="0"/>
          <c:order val="0"/>
          <c:tx>
            <c:strRef>
              <c:f>'HI7'!$B$1</c:f>
              <c:strCache>
                <c:ptCount val="1"/>
                <c:pt idx="0">
                  <c:v>Patent box</c:v>
                </c:pt>
              </c:strCache>
            </c:strRef>
          </c:tx>
          <c:spPr>
            <a:solidFill>
              <a:schemeClr val="accent1"/>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2453-44ED-AF9D-645C2C398ED0}"/>
              </c:ext>
            </c:extLst>
          </c:dPt>
          <c:dPt>
            <c:idx val="7"/>
            <c:invertIfNegative val="0"/>
            <c:bubble3D val="0"/>
            <c:spPr>
              <a:solidFill>
                <a:srgbClr val="C00000"/>
              </a:solidFill>
              <a:ln>
                <a:noFill/>
              </a:ln>
              <a:effectLst/>
            </c:spPr>
            <c:extLst>
              <c:ext xmlns:c16="http://schemas.microsoft.com/office/drawing/2014/chart" uri="{C3380CC4-5D6E-409C-BE32-E72D297353CC}">
                <c16:uniqueId val="{00000003-2453-44ED-AF9D-645C2C398ED0}"/>
              </c:ext>
            </c:extLst>
          </c:dPt>
          <c:dPt>
            <c:idx val="8"/>
            <c:invertIfNegative val="0"/>
            <c:bubble3D val="0"/>
            <c:spPr>
              <a:solidFill>
                <a:srgbClr val="C00000"/>
              </a:solidFill>
              <a:ln>
                <a:noFill/>
              </a:ln>
              <a:effectLst/>
            </c:spPr>
            <c:extLst>
              <c:ext xmlns:c16="http://schemas.microsoft.com/office/drawing/2014/chart" uri="{C3380CC4-5D6E-409C-BE32-E72D297353CC}">
                <c16:uniqueId val="{00000005-2453-44ED-AF9D-645C2C398ED0}"/>
              </c:ext>
            </c:extLst>
          </c:dPt>
          <c:dPt>
            <c:idx val="9"/>
            <c:invertIfNegative val="0"/>
            <c:bubble3D val="0"/>
            <c:spPr>
              <a:solidFill>
                <a:srgbClr val="EBE60B"/>
              </a:solidFill>
              <a:ln>
                <a:noFill/>
              </a:ln>
              <a:effectLst/>
            </c:spPr>
            <c:extLst>
              <c:ext xmlns:c16="http://schemas.microsoft.com/office/drawing/2014/chart" uri="{C3380CC4-5D6E-409C-BE32-E72D297353CC}">
                <c16:uniqueId val="{00000007-2453-44ED-AF9D-645C2C398ED0}"/>
              </c:ext>
            </c:extLst>
          </c:dPt>
          <c:dPt>
            <c:idx val="10"/>
            <c:invertIfNegative val="0"/>
            <c:bubble3D val="0"/>
            <c:spPr>
              <a:solidFill>
                <a:srgbClr val="FF9933"/>
              </a:solidFill>
              <a:ln>
                <a:noFill/>
              </a:ln>
              <a:effectLst/>
            </c:spPr>
            <c:extLst>
              <c:ext xmlns:c16="http://schemas.microsoft.com/office/drawing/2014/chart" uri="{C3380CC4-5D6E-409C-BE32-E72D297353CC}">
                <c16:uniqueId val="{00000009-2453-44ED-AF9D-645C2C398ED0}"/>
              </c:ext>
            </c:extLst>
          </c:dPt>
          <c:dPt>
            <c:idx val="11"/>
            <c:invertIfNegative val="0"/>
            <c:bubble3D val="0"/>
            <c:spPr>
              <a:solidFill>
                <a:srgbClr val="FF9933"/>
              </a:solidFill>
              <a:ln>
                <a:noFill/>
              </a:ln>
              <a:effectLst/>
            </c:spPr>
            <c:extLst>
              <c:ext xmlns:c16="http://schemas.microsoft.com/office/drawing/2014/chart" uri="{C3380CC4-5D6E-409C-BE32-E72D297353CC}">
                <c16:uniqueId val="{0000000B-2453-44ED-AF9D-645C2C398ED0}"/>
              </c:ext>
            </c:extLst>
          </c:dPt>
          <c:dPt>
            <c:idx val="12"/>
            <c:invertIfNegative val="0"/>
            <c:bubble3D val="0"/>
            <c:spPr>
              <a:solidFill>
                <a:srgbClr val="FF9933"/>
              </a:solidFill>
              <a:ln>
                <a:noFill/>
              </a:ln>
              <a:effectLst/>
            </c:spPr>
            <c:extLst>
              <c:ext xmlns:c16="http://schemas.microsoft.com/office/drawing/2014/chart" uri="{C3380CC4-5D6E-409C-BE32-E72D297353CC}">
                <c16:uniqueId val="{0000000D-2453-44ED-AF9D-645C2C398ED0}"/>
              </c:ext>
            </c:extLst>
          </c:dPt>
          <c:dPt>
            <c:idx val="13"/>
            <c:invertIfNegative val="0"/>
            <c:bubble3D val="0"/>
            <c:spPr>
              <a:solidFill>
                <a:srgbClr val="FF9933"/>
              </a:solidFill>
              <a:ln>
                <a:noFill/>
              </a:ln>
              <a:effectLst/>
            </c:spPr>
            <c:extLst>
              <c:ext xmlns:c16="http://schemas.microsoft.com/office/drawing/2014/chart" uri="{C3380CC4-5D6E-409C-BE32-E72D297353CC}">
                <c16:uniqueId val="{0000000F-2453-44ED-AF9D-645C2C398ED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'HI7'!$A$2:$A$16</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 Average</c:v>
                </c:pt>
                <c:pt idx="11">
                  <c:v>Eu &amp; dependencies</c:v>
                </c:pt>
                <c:pt idx="12">
                  <c:v>OECD Average</c:v>
                </c:pt>
                <c:pt idx="13">
                  <c:v>OECD &amp; dependencies</c:v>
                </c:pt>
                <c:pt idx="14">
                  <c:v>Best perfomers</c:v>
                </c:pt>
              </c:strCache>
            </c:strRef>
          </c:cat>
          <c:val>
            <c:numRef>
              <c:f>'HI7'!$B$2:$B$16</c:f>
              <c:numCache>
                <c:formatCode>0</c:formatCode>
                <c:ptCount val="15"/>
                <c:pt idx="0">
                  <c:v>100</c:v>
                </c:pt>
                <c:pt idx="1">
                  <c:v>0</c:v>
                </c:pt>
                <c:pt idx="2">
                  <c:v>0</c:v>
                </c:pt>
                <c:pt idx="3">
                  <c:v>0</c:v>
                </c:pt>
                <c:pt idx="4">
                  <c:v>0</c:v>
                </c:pt>
                <c:pt idx="5">
                  <c:v>0</c:v>
                </c:pt>
                <c:pt idx="6">
                  <c:v>0</c:v>
                </c:pt>
                <c:pt idx="7">
                  <c:v>100</c:v>
                </c:pt>
                <c:pt idx="8">
                  <c:v>100</c:v>
                </c:pt>
                <c:pt idx="9">
                  <c:v>33.333333333333336</c:v>
                </c:pt>
                <c:pt idx="10">
                  <c:v>52.857142857142854</c:v>
                </c:pt>
                <c:pt idx="11">
                  <c:v>61.75</c:v>
                </c:pt>
                <c:pt idx="12">
                  <c:v>59.2</c:v>
                </c:pt>
                <c:pt idx="13">
                  <c:v>66.756756756756758</c:v>
                </c:pt>
                <c:pt idx="14">
                  <c:v>0</c:v>
                </c:pt>
              </c:numCache>
            </c:numRef>
          </c:val>
          <c:extLst>
            <c:ext xmlns:c16="http://schemas.microsoft.com/office/drawing/2014/chart" uri="{C3380CC4-5D6E-409C-BE32-E72D297353CC}">
              <c16:uniqueId val="{00000010-2453-44ED-AF9D-645C2C398ED0}"/>
            </c:ext>
          </c:extLst>
        </c:ser>
        <c:dLbls>
          <c:dLblPos val="outEnd"/>
          <c:showLegendKey val="0"/>
          <c:showVal val="1"/>
          <c:showCatName val="0"/>
          <c:showSerName val="0"/>
          <c:showPercent val="0"/>
          <c:showBubbleSize val="0"/>
        </c:dLbls>
        <c:gapWidth val="219"/>
        <c:overlap val="-27"/>
        <c:axId val="938921424"/>
        <c:axId val="938918472"/>
      </c:barChart>
      <c:catAx>
        <c:axId val="93892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918472"/>
        <c:crosses val="autoZero"/>
        <c:auto val="1"/>
        <c:lblAlgn val="ctr"/>
        <c:lblOffset val="100"/>
        <c:noMultiLvlLbl val="0"/>
      </c:catAx>
      <c:valAx>
        <c:axId val="938918472"/>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a:t>
                </a:r>
                <a:r>
                  <a:rPr lang="en-GB" sz="900" baseline="0"/>
                  <a:t> Score</a:t>
                </a:r>
                <a:endParaRPr lang="en-GB" sz="900"/>
              </a:p>
            </c:rich>
          </c:tx>
          <c:layout>
            <c:manualLayout>
              <c:xMode val="edge"/>
              <c:yMode val="edge"/>
              <c:x val="4.3231888280749746E-2"/>
              <c:y val="0.2395969507189979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921424"/>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96370415475155"/>
          <c:y val="0.11280706662936169"/>
          <c:w val="0.82391481476958084"/>
          <c:h val="0.48516215676086172"/>
        </c:manualLayout>
      </c:layout>
      <c:barChart>
        <c:barDir val="col"/>
        <c:grouping val="clustered"/>
        <c:varyColors val="0"/>
        <c:ser>
          <c:idx val="0"/>
          <c:order val="0"/>
          <c:tx>
            <c:strRef>
              <c:f>Categories!$D$80</c:f>
              <c:strCache>
                <c:ptCount val="1"/>
                <c:pt idx="0">
                  <c:v>Category 3: Transparency</c:v>
                </c:pt>
              </c:strCache>
            </c:strRef>
          </c:tx>
          <c:spPr>
            <a:solidFill>
              <a:srgbClr val="E26714"/>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40B8-4F46-8197-EEEB783CE4BB}"/>
              </c:ext>
            </c:extLst>
          </c:dPt>
          <c:dPt>
            <c:idx val="14"/>
            <c:invertIfNegative val="0"/>
            <c:bubble3D val="0"/>
            <c:spPr>
              <a:solidFill>
                <a:srgbClr val="FF9933"/>
              </a:solidFill>
              <a:ln>
                <a:noFill/>
              </a:ln>
              <a:effectLst/>
            </c:spPr>
            <c:extLst>
              <c:ext xmlns:c16="http://schemas.microsoft.com/office/drawing/2014/chart" uri="{C3380CC4-5D6E-409C-BE32-E72D297353CC}">
                <c16:uniqueId val="{00000003-40B8-4F46-8197-EEEB783CE4B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Categories!$C$81:$C$95</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c:v>
                </c:pt>
                <c:pt idx="11">
                  <c:v>EU &amp; dependencies</c:v>
                </c:pt>
                <c:pt idx="12">
                  <c:v>OECD</c:v>
                </c:pt>
                <c:pt idx="13">
                  <c:v>OECD &amp; dependencies</c:v>
                </c:pt>
                <c:pt idx="14">
                  <c:v>Best performer (France and UK)</c:v>
                </c:pt>
              </c:strCache>
            </c:strRef>
          </c:cat>
          <c:val>
            <c:numRef>
              <c:f>Categories!$D$81:$D$95</c:f>
              <c:numCache>
                <c:formatCode>0</c:formatCode>
                <c:ptCount val="15"/>
                <c:pt idx="0">
                  <c:v>91.666666666666671</c:v>
                </c:pt>
                <c:pt idx="1">
                  <c:v>100</c:v>
                </c:pt>
                <c:pt idx="2">
                  <c:v>83.333333333333329</c:v>
                </c:pt>
                <c:pt idx="3">
                  <c:v>83.333333333333329</c:v>
                </c:pt>
                <c:pt idx="4">
                  <c:v>86.666666666666671</c:v>
                </c:pt>
                <c:pt idx="5">
                  <c:v>77.083333333333329</c:v>
                </c:pt>
                <c:pt idx="6">
                  <c:v>99.166666666666671</c:v>
                </c:pt>
                <c:pt idx="7">
                  <c:v>91.666666666666671</c:v>
                </c:pt>
                <c:pt idx="8">
                  <c:v>93.75</c:v>
                </c:pt>
                <c:pt idx="9">
                  <c:v>89.629629629629619</c:v>
                </c:pt>
                <c:pt idx="10">
                  <c:v>76.36904761904762</c:v>
                </c:pt>
                <c:pt idx="11">
                  <c:v>82.333333333333343</c:v>
                </c:pt>
                <c:pt idx="12">
                  <c:v>76.266666666666666</c:v>
                </c:pt>
                <c:pt idx="13">
                  <c:v>82.747747747747738</c:v>
                </c:pt>
                <c:pt idx="14">
                  <c:v>58.333333333333336</c:v>
                </c:pt>
              </c:numCache>
            </c:numRef>
          </c:val>
          <c:extLst>
            <c:ext xmlns:c16="http://schemas.microsoft.com/office/drawing/2014/chart" uri="{C3380CC4-5D6E-409C-BE32-E72D297353CC}">
              <c16:uniqueId val="{00000004-40B8-4F46-8197-EEEB783CE4BB}"/>
            </c:ext>
          </c:extLst>
        </c:ser>
        <c:dLbls>
          <c:dLblPos val="outEnd"/>
          <c:showLegendKey val="0"/>
          <c:showVal val="1"/>
          <c:showCatName val="0"/>
          <c:showSerName val="0"/>
          <c:showPercent val="0"/>
          <c:showBubbleSize val="0"/>
        </c:dLbls>
        <c:gapWidth val="219"/>
        <c:overlap val="-27"/>
        <c:axId val="952793040"/>
        <c:axId val="952794024"/>
      </c:barChart>
      <c:catAx>
        <c:axId val="95279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94024"/>
        <c:crosses val="autoZero"/>
        <c:auto val="1"/>
        <c:lblAlgn val="ctr"/>
        <c:lblOffset val="100"/>
        <c:noMultiLvlLbl val="0"/>
      </c:catAx>
      <c:valAx>
        <c:axId val="952794024"/>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t>Haven Score</a:t>
                </a:r>
              </a:p>
            </c:rich>
          </c:tx>
          <c:layout>
            <c:manualLayout>
              <c:xMode val="edge"/>
              <c:yMode val="edge"/>
              <c:x val="4.0337886525540392E-2"/>
              <c:y val="0.22931883768336064"/>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93040"/>
        <c:crosses val="autoZero"/>
        <c:crossBetween val="between"/>
        <c:majorUnit val="20"/>
      </c:valAx>
      <c:spPr>
        <a:noFill/>
        <a:ln w="25400">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33398913535138"/>
          <c:y val="6.6903616976792812E-2"/>
          <c:w val="0.83374241911897096"/>
          <c:h val="0.64867073510019913"/>
        </c:manualLayout>
      </c:layout>
      <c:barChart>
        <c:barDir val="col"/>
        <c:grouping val="clustered"/>
        <c:varyColors val="0"/>
        <c:ser>
          <c:idx val="0"/>
          <c:order val="0"/>
          <c:tx>
            <c:strRef>
              <c:f>'Cat_radarcharts Editing 3-2020'!$A$57</c:f>
              <c:strCache>
                <c:ptCount val="1"/>
                <c:pt idx="0">
                  <c:v>African Average</c:v>
                </c:pt>
              </c:strCache>
            </c:strRef>
          </c:tx>
          <c:spPr>
            <a:solidFill>
              <a:schemeClr val="accent1"/>
            </a:solidFill>
            <a:ln>
              <a:noFill/>
            </a:ln>
            <a:effectLst/>
          </c:spPr>
          <c:invertIfNegative val="0"/>
          <c:cat>
            <c:strRef>
              <c:f>'Cat_radarcharts Editing 3-2020'!$B$56:$G$56</c:f>
              <c:strCache>
                <c:ptCount val="6"/>
                <c:pt idx="0">
                  <c:v>Public Company Accounts</c:v>
                </c:pt>
                <c:pt idx="1">
                  <c:v>Country by Country Reporting</c:v>
                </c:pt>
                <c:pt idx="2">
                  <c:v>Local Filing of Country by Country Reporting</c:v>
                </c:pt>
                <c:pt idx="3">
                  <c:v>Tax Rulings &amp; Extractive Contracts</c:v>
                </c:pt>
                <c:pt idx="4">
                  <c:v>Reporting of Tax Avoidance Schemes</c:v>
                </c:pt>
                <c:pt idx="5">
                  <c:v>Tax Court Secrecy</c:v>
                </c:pt>
              </c:strCache>
            </c:strRef>
          </c:cat>
          <c:val>
            <c:numRef>
              <c:f>'Cat_radarcharts Editing 3-2020'!$B$57:$G$57</c:f>
              <c:numCache>
                <c:formatCode>0</c:formatCode>
                <c:ptCount val="6"/>
                <c:pt idx="0">
                  <c:v>100</c:v>
                </c:pt>
                <c:pt idx="1">
                  <c:v>100</c:v>
                </c:pt>
                <c:pt idx="2">
                  <c:v>100</c:v>
                </c:pt>
                <c:pt idx="3">
                  <c:v>65.555555555555557</c:v>
                </c:pt>
                <c:pt idx="4">
                  <c:v>94.444444444444443</c:v>
                </c:pt>
                <c:pt idx="5">
                  <c:v>77.777777777777771</c:v>
                </c:pt>
              </c:numCache>
            </c:numRef>
          </c:val>
          <c:extLst>
            <c:ext xmlns:c16="http://schemas.microsoft.com/office/drawing/2014/chart" uri="{C3380CC4-5D6E-409C-BE32-E72D297353CC}">
              <c16:uniqueId val="{00000000-6652-41E0-9452-7C391678E596}"/>
            </c:ext>
          </c:extLst>
        </c:ser>
        <c:ser>
          <c:idx val="1"/>
          <c:order val="1"/>
          <c:tx>
            <c:strRef>
              <c:f>'Cat_radarcharts Editing 3-2020'!$A$58</c:f>
              <c:strCache>
                <c:ptCount val="1"/>
                <c:pt idx="0">
                  <c:v>EU</c:v>
                </c:pt>
              </c:strCache>
            </c:strRef>
          </c:tx>
          <c:spPr>
            <a:solidFill>
              <a:schemeClr val="accent2"/>
            </a:solidFill>
            <a:ln>
              <a:noFill/>
            </a:ln>
            <a:effectLst/>
          </c:spPr>
          <c:invertIfNegative val="0"/>
          <c:cat>
            <c:strRef>
              <c:f>'Cat_radarcharts Editing 3-2020'!$B$56:$G$56</c:f>
              <c:strCache>
                <c:ptCount val="6"/>
                <c:pt idx="0">
                  <c:v>Public Company Accounts</c:v>
                </c:pt>
                <c:pt idx="1">
                  <c:v>Country by Country Reporting</c:v>
                </c:pt>
                <c:pt idx="2">
                  <c:v>Local Filing of Country by Country Reporting</c:v>
                </c:pt>
                <c:pt idx="3">
                  <c:v>Tax Rulings &amp; Extractive Contracts</c:v>
                </c:pt>
                <c:pt idx="4">
                  <c:v>Reporting of Tax Avoidance Schemes</c:v>
                </c:pt>
                <c:pt idx="5">
                  <c:v>Tax Court Secrecy</c:v>
                </c:pt>
              </c:strCache>
            </c:strRef>
          </c:cat>
          <c:val>
            <c:numRef>
              <c:f>'Cat_radarcharts Editing 3-2020'!$B$58:$G$58</c:f>
              <c:numCache>
                <c:formatCode>0</c:formatCode>
                <c:ptCount val="6"/>
                <c:pt idx="0">
                  <c:v>59.821428571428569</c:v>
                </c:pt>
                <c:pt idx="1">
                  <c:v>50.892857142857146</c:v>
                </c:pt>
                <c:pt idx="2">
                  <c:v>89.285714285714292</c:v>
                </c:pt>
                <c:pt idx="3">
                  <c:v>84.642857142857139</c:v>
                </c:pt>
                <c:pt idx="4">
                  <c:v>95</c:v>
                </c:pt>
                <c:pt idx="5">
                  <c:v>78.571428571428569</c:v>
                </c:pt>
              </c:numCache>
            </c:numRef>
          </c:val>
          <c:extLst>
            <c:ext xmlns:c16="http://schemas.microsoft.com/office/drawing/2014/chart" uri="{C3380CC4-5D6E-409C-BE32-E72D297353CC}">
              <c16:uniqueId val="{00000001-6652-41E0-9452-7C391678E596}"/>
            </c:ext>
          </c:extLst>
        </c:ser>
        <c:ser>
          <c:idx val="2"/>
          <c:order val="2"/>
          <c:tx>
            <c:strRef>
              <c:f>'Cat_radarcharts Editing 3-2020'!$A$59</c:f>
              <c:strCache>
                <c:ptCount val="1"/>
                <c:pt idx="0">
                  <c:v>OECD</c:v>
                </c:pt>
              </c:strCache>
            </c:strRef>
          </c:tx>
          <c:spPr>
            <a:solidFill>
              <a:schemeClr val="accent3"/>
            </a:solidFill>
            <a:ln>
              <a:noFill/>
            </a:ln>
            <a:effectLst/>
          </c:spPr>
          <c:invertIfNegative val="0"/>
          <c:cat>
            <c:strRef>
              <c:f>'Cat_radarcharts Editing 3-2020'!$B$56:$G$56</c:f>
              <c:strCache>
                <c:ptCount val="6"/>
                <c:pt idx="0">
                  <c:v>Public Company Accounts</c:v>
                </c:pt>
                <c:pt idx="1">
                  <c:v>Country by Country Reporting</c:v>
                </c:pt>
                <c:pt idx="2">
                  <c:v>Local Filing of Country by Country Reporting</c:v>
                </c:pt>
                <c:pt idx="3">
                  <c:v>Tax Rulings &amp; Extractive Contracts</c:v>
                </c:pt>
                <c:pt idx="4">
                  <c:v>Reporting of Tax Avoidance Schemes</c:v>
                </c:pt>
                <c:pt idx="5">
                  <c:v>Tax Court Secrecy</c:v>
                </c:pt>
              </c:strCache>
            </c:strRef>
          </c:cat>
          <c:val>
            <c:numRef>
              <c:f>'Cat_radarcharts Editing 3-2020'!$B$59:$G$59</c:f>
              <c:numCache>
                <c:formatCode>0</c:formatCode>
                <c:ptCount val="6"/>
                <c:pt idx="0">
                  <c:v>60</c:v>
                </c:pt>
                <c:pt idx="1">
                  <c:v>55</c:v>
                </c:pt>
                <c:pt idx="2">
                  <c:v>88</c:v>
                </c:pt>
                <c:pt idx="3">
                  <c:v>86</c:v>
                </c:pt>
                <c:pt idx="4">
                  <c:v>91.6</c:v>
                </c:pt>
                <c:pt idx="5">
                  <c:v>77</c:v>
                </c:pt>
              </c:numCache>
            </c:numRef>
          </c:val>
          <c:extLst>
            <c:ext xmlns:c16="http://schemas.microsoft.com/office/drawing/2014/chart" uri="{C3380CC4-5D6E-409C-BE32-E72D297353CC}">
              <c16:uniqueId val="{00000002-6652-41E0-9452-7C391678E596}"/>
            </c:ext>
          </c:extLst>
        </c:ser>
        <c:dLbls>
          <c:showLegendKey val="0"/>
          <c:showVal val="0"/>
          <c:showCatName val="0"/>
          <c:showSerName val="0"/>
          <c:showPercent val="0"/>
          <c:showBubbleSize val="0"/>
        </c:dLbls>
        <c:gapWidth val="219"/>
        <c:axId val="1204132864"/>
        <c:axId val="1235257984"/>
      </c:barChart>
      <c:lineChart>
        <c:grouping val="standard"/>
        <c:varyColors val="0"/>
        <c:ser>
          <c:idx val="3"/>
          <c:order val="3"/>
          <c:tx>
            <c:strRef>
              <c:f>'Cat_radarcharts Editing 3-2020'!$A$60</c:f>
              <c:strCache>
                <c:ptCount val="1"/>
                <c:pt idx="0">
                  <c:v>Best performer</c:v>
                </c:pt>
              </c:strCache>
            </c:strRef>
          </c:tx>
          <c:spPr>
            <a:ln w="28575" cap="rnd">
              <a:solidFill>
                <a:schemeClr val="accent4"/>
              </a:solidFill>
              <a:round/>
            </a:ln>
            <a:effectLst/>
          </c:spPr>
          <c:marker>
            <c:symbol val="none"/>
          </c:marker>
          <c:cat>
            <c:strRef>
              <c:f>'Cat_radarcharts Editing 3-2020'!$B$56:$G$56</c:f>
              <c:strCache>
                <c:ptCount val="6"/>
                <c:pt idx="0">
                  <c:v>Public Company Accounts</c:v>
                </c:pt>
                <c:pt idx="1">
                  <c:v>Country by Country Reporting</c:v>
                </c:pt>
                <c:pt idx="2">
                  <c:v>Local Filing of Country by Country Reporting</c:v>
                </c:pt>
                <c:pt idx="3">
                  <c:v>Tax Rulings &amp; Extractive Contracts</c:v>
                </c:pt>
                <c:pt idx="4">
                  <c:v>Reporting of Tax Avoidance Schemes</c:v>
                </c:pt>
                <c:pt idx="5">
                  <c:v>Tax Court Secrecy</c:v>
                </c:pt>
              </c:strCache>
            </c:strRef>
          </c:cat>
          <c:val>
            <c:numRef>
              <c:f>'Cat_radarcharts Editing 3-2020'!$B$60:$G$60</c:f>
              <c:numCache>
                <c:formatCode>0</c:formatCode>
                <c:ptCount val="6"/>
                <c:pt idx="0">
                  <c:v>0</c:v>
                </c:pt>
                <c:pt idx="1">
                  <c:v>50</c:v>
                </c:pt>
                <c:pt idx="2">
                  <c:v>0</c:v>
                </c:pt>
                <c:pt idx="3">
                  <c:v>0</c:v>
                </c:pt>
                <c:pt idx="4">
                  <c:v>30</c:v>
                </c:pt>
                <c:pt idx="5">
                  <c:v>25</c:v>
                </c:pt>
              </c:numCache>
            </c:numRef>
          </c:val>
          <c:smooth val="0"/>
          <c:extLst>
            <c:ext xmlns:c16="http://schemas.microsoft.com/office/drawing/2014/chart" uri="{C3380CC4-5D6E-409C-BE32-E72D297353CC}">
              <c16:uniqueId val="{00000003-6652-41E0-9452-7C391678E596}"/>
            </c:ext>
          </c:extLst>
        </c:ser>
        <c:dLbls>
          <c:showLegendKey val="0"/>
          <c:showVal val="0"/>
          <c:showCatName val="0"/>
          <c:showSerName val="0"/>
          <c:showPercent val="0"/>
          <c:showBubbleSize val="0"/>
        </c:dLbls>
        <c:marker val="1"/>
        <c:smooth val="0"/>
        <c:axId val="1204132864"/>
        <c:axId val="1235257984"/>
      </c:lineChart>
      <c:catAx>
        <c:axId val="120413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5257984"/>
        <c:crosses val="autoZero"/>
        <c:auto val="1"/>
        <c:lblAlgn val="ctr"/>
        <c:lblOffset val="100"/>
        <c:noMultiLvlLbl val="0"/>
      </c:catAx>
      <c:valAx>
        <c:axId val="1235257984"/>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 Score</a:t>
                </a:r>
              </a:p>
            </c:rich>
          </c:tx>
          <c:layout>
            <c:manualLayout>
              <c:xMode val="edge"/>
              <c:yMode val="edge"/>
              <c:x val="6.4740658114891256E-2"/>
              <c:y val="0.2793216131278593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132864"/>
        <c:crosses val="autoZero"/>
        <c:crossBetween val="between"/>
        <c:majorUnit val="2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89688057771861"/>
          <c:y val="0.14411391919908584"/>
          <c:w val="0.84476324738158026"/>
          <c:h val="0.52216828680883987"/>
        </c:manualLayout>
      </c:layout>
      <c:barChart>
        <c:barDir val="col"/>
        <c:grouping val="clustered"/>
        <c:varyColors val="0"/>
        <c:ser>
          <c:idx val="0"/>
          <c:order val="0"/>
          <c:tx>
            <c:strRef>
              <c:f>Categories!$D$100</c:f>
              <c:strCache>
                <c:ptCount val="1"/>
                <c:pt idx="0">
                  <c:v>Category 4: Anti-Avoidance</c:v>
                </c:pt>
              </c:strCache>
            </c:strRef>
          </c:tx>
          <c:spPr>
            <a:solidFill>
              <a:srgbClr val="E26714"/>
            </a:solidFill>
            <a:ln>
              <a:noFill/>
            </a:ln>
            <a:effectLst/>
          </c:spPr>
          <c:invertIfNegative val="0"/>
          <c:dPt>
            <c:idx val="1"/>
            <c:invertIfNegative val="0"/>
            <c:bubble3D val="0"/>
            <c:spPr>
              <a:solidFill>
                <a:srgbClr val="C00000"/>
              </a:solidFill>
              <a:ln>
                <a:noFill/>
              </a:ln>
              <a:effectLst/>
            </c:spPr>
            <c:extLst>
              <c:ext xmlns:c16="http://schemas.microsoft.com/office/drawing/2014/chart" uri="{C3380CC4-5D6E-409C-BE32-E72D297353CC}">
                <c16:uniqueId val="{00000001-72C5-42C3-9A81-440C7691F2DA}"/>
              </c:ext>
            </c:extLst>
          </c:dPt>
          <c:dPt>
            <c:idx val="5"/>
            <c:invertIfNegative val="0"/>
            <c:bubble3D val="0"/>
            <c:spPr>
              <a:solidFill>
                <a:srgbClr val="FF9933"/>
              </a:solidFill>
              <a:ln>
                <a:noFill/>
              </a:ln>
              <a:effectLst/>
            </c:spPr>
            <c:extLst>
              <c:ext xmlns:c16="http://schemas.microsoft.com/office/drawing/2014/chart" uri="{C3380CC4-5D6E-409C-BE32-E72D297353CC}">
                <c16:uniqueId val="{00000003-72C5-42C3-9A81-440C7691F2DA}"/>
              </c:ext>
            </c:extLst>
          </c:dPt>
          <c:dPt>
            <c:idx val="7"/>
            <c:invertIfNegative val="0"/>
            <c:bubble3D val="0"/>
            <c:spPr>
              <a:solidFill>
                <a:srgbClr val="C00000"/>
              </a:solidFill>
              <a:ln>
                <a:noFill/>
              </a:ln>
              <a:effectLst/>
            </c:spPr>
            <c:extLst>
              <c:ext xmlns:c16="http://schemas.microsoft.com/office/drawing/2014/chart" uri="{C3380CC4-5D6E-409C-BE32-E72D297353CC}">
                <c16:uniqueId val="{00000005-72C5-42C3-9A81-440C7691F2DA}"/>
              </c:ext>
            </c:extLst>
          </c:dPt>
          <c:dPt>
            <c:idx val="8"/>
            <c:invertIfNegative val="0"/>
            <c:bubble3D val="0"/>
            <c:spPr>
              <a:solidFill>
                <a:srgbClr val="FF9933"/>
              </a:solidFill>
              <a:ln>
                <a:noFill/>
              </a:ln>
              <a:effectLst/>
            </c:spPr>
            <c:extLst>
              <c:ext xmlns:c16="http://schemas.microsoft.com/office/drawing/2014/chart" uri="{C3380CC4-5D6E-409C-BE32-E72D297353CC}">
                <c16:uniqueId val="{00000007-72C5-42C3-9A81-440C7691F2DA}"/>
              </c:ext>
            </c:extLst>
          </c:dPt>
          <c:dPt>
            <c:idx val="14"/>
            <c:invertIfNegative val="0"/>
            <c:bubble3D val="0"/>
            <c:spPr>
              <a:solidFill>
                <a:srgbClr val="EBE60B"/>
              </a:solidFill>
              <a:ln>
                <a:noFill/>
              </a:ln>
              <a:effectLst/>
            </c:spPr>
            <c:extLst>
              <c:ext xmlns:c16="http://schemas.microsoft.com/office/drawing/2014/chart" uri="{C3380CC4-5D6E-409C-BE32-E72D297353CC}">
                <c16:uniqueId val="{00000009-72C5-42C3-9A81-440C7691F2D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Categories!$C$101:$C$115</c:f>
              <c:strCache>
                <c:ptCount val="15"/>
                <c:pt idx="0">
                  <c:v>Botswana</c:v>
                </c:pt>
                <c:pt idx="1">
                  <c:v>Gambia</c:v>
                </c:pt>
                <c:pt idx="2">
                  <c:v>Ghana</c:v>
                </c:pt>
                <c:pt idx="3">
                  <c:v>Kenya</c:v>
                </c:pt>
                <c:pt idx="4">
                  <c:v>Liberia</c:v>
                </c:pt>
                <c:pt idx="5">
                  <c:v>South Africa</c:v>
                </c:pt>
                <c:pt idx="6">
                  <c:v>Tanzania</c:v>
                </c:pt>
                <c:pt idx="7">
                  <c:v>Mauritius</c:v>
                </c:pt>
                <c:pt idx="8">
                  <c:v>Seychelles</c:v>
                </c:pt>
                <c:pt idx="9">
                  <c:v>African Average</c:v>
                </c:pt>
                <c:pt idx="10">
                  <c:v>EU</c:v>
                </c:pt>
                <c:pt idx="11">
                  <c:v>EU &amp; dependencies</c:v>
                </c:pt>
                <c:pt idx="12">
                  <c:v>OECD</c:v>
                </c:pt>
                <c:pt idx="13">
                  <c:v>OECD &amp; dependencies</c:v>
                </c:pt>
                <c:pt idx="14">
                  <c:v>Best performer (USA)</c:v>
                </c:pt>
              </c:strCache>
            </c:strRef>
          </c:cat>
          <c:val>
            <c:numRef>
              <c:f>Categories!$D$101:$D$115</c:f>
              <c:numCache>
                <c:formatCode>0</c:formatCode>
                <c:ptCount val="15"/>
                <c:pt idx="0">
                  <c:v>98</c:v>
                </c:pt>
                <c:pt idx="1">
                  <c:v>100</c:v>
                </c:pt>
                <c:pt idx="2">
                  <c:v>96</c:v>
                </c:pt>
                <c:pt idx="3">
                  <c:v>95</c:v>
                </c:pt>
                <c:pt idx="4">
                  <c:v>97.142857141999997</c:v>
                </c:pt>
                <c:pt idx="5">
                  <c:v>73</c:v>
                </c:pt>
                <c:pt idx="6">
                  <c:v>82.142857141999997</c:v>
                </c:pt>
                <c:pt idx="7">
                  <c:v>100</c:v>
                </c:pt>
                <c:pt idx="8">
                  <c:v>70</c:v>
                </c:pt>
                <c:pt idx="9">
                  <c:v>90.142857142666671</c:v>
                </c:pt>
                <c:pt idx="10">
                  <c:v>82.107142857142861</c:v>
                </c:pt>
                <c:pt idx="11">
                  <c:v>86.839285714249996</c:v>
                </c:pt>
                <c:pt idx="12">
                  <c:v>79.474285714320004</c:v>
                </c:pt>
                <c:pt idx="13">
                  <c:v>85.444015444000001</c:v>
                </c:pt>
                <c:pt idx="14">
                  <c:v>27.857142857999996</c:v>
                </c:pt>
              </c:numCache>
            </c:numRef>
          </c:val>
          <c:extLst>
            <c:ext xmlns:c16="http://schemas.microsoft.com/office/drawing/2014/chart" uri="{C3380CC4-5D6E-409C-BE32-E72D297353CC}">
              <c16:uniqueId val="{0000000A-72C5-42C3-9A81-440C7691F2DA}"/>
            </c:ext>
          </c:extLst>
        </c:ser>
        <c:dLbls>
          <c:dLblPos val="outEnd"/>
          <c:showLegendKey val="0"/>
          <c:showVal val="1"/>
          <c:showCatName val="0"/>
          <c:showSerName val="0"/>
          <c:showPercent val="0"/>
          <c:showBubbleSize val="0"/>
        </c:dLbls>
        <c:gapWidth val="219"/>
        <c:overlap val="-27"/>
        <c:axId val="952793040"/>
        <c:axId val="952794024"/>
      </c:barChart>
      <c:catAx>
        <c:axId val="95279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94024"/>
        <c:crosses val="autoZero"/>
        <c:auto val="1"/>
        <c:lblAlgn val="ctr"/>
        <c:lblOffset val="100"/>
        <c:noMultiLvlLbl val="0"/>
      </c:catAx>
      <c:valAx>
        <c:axId val="952794024"/>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GB" sz="900"/>
                  <a:t>Haven Score</a:t>
                </a:r>
              </a:p>
            </c:rich>
          </c:tx>
          <c:layout>
            <c:manualLayout>
              <c:xMode val="edge"/>
              <c:yMode val="edge"/>
              <c:x val="3.1960164075435615E-2"/>
              <c:y val="0.2797698227499692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793040"/>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0.87984</cdr:x>
      <cdr:y>0.71307</cdr:y>
    </cdr:from>
    <cdr:to>
      <cdr:x>1</cdr:x>
      <cdr:y>0.8913</cdr:y>
    </cdr:to>
    <cdr:sp macro="" textlink="">
      <cdr:nvSpPr>
        <cdr:cNvPr id="6" name="TextBox 1">
          <a:extLst xmlns:a="http://schemas.openxmlformats.org/drawingml/2006/main">
            <a:ext uri="{FF2B5EF4-FFF2-40B4-BE49-F238E27FC236}">
              <a16:creationId xmlns:a16="http://schemas.microsoft.com/office/drawing/2014/main" id="{A47D483D-AD77-A04D-815C-C6ADD4EF3A0F}"/>
            </a:ext>
          </a:extLst>
        </cdr:cNvPr>
        <cdr:cNvSpPr txBox="1"/>
      </cdr:nvSpPr>
      <cdr:spPr>
        <a:xfrm xmlns:a="http://schemas.openxmlformats.org/drawingml/2006/main">
          <a:off x="5042791" y="2134043"/>
          <a:ext cx="688719"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l"/>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0.89064</cdr:x>
      <cdr:y>0.01328</cdr:y>
    </cdr:from>
    <cdr:to>
      <cdr:x>1</cdr:x>
      <cdr:y>0.2059</cdr:y>
    </cdr:to>
    <cdr:sp macro="" textlink="">
      <cdr:nvSpPr>
        <cdr:cNvPr id="7" name="TextBox 1">
          <a:extLst xmlns:a="http://schemas.openxmlformats.org/drawingml/2006/main">
            <a:ext uri="{FF2B5EF4-FFF2-40B4-BE49-F238E27FC236}">
              <a16:creationId xmlns:a16="http://schemas.microsoft.com/office/drawing/2014/main" id="{44B97490-02B0-FE43-A9AD-05CC7CE9DF4A}"/>
            </a:ext>
          </a:extLst>
        </cdr:cNvPr>
        <cdr:cNvSpPr txBox="1"/>
      </cdr:nvSpPr>
      <cdr:spPr>
        <a:xfrm xmlns:a="http://schemas.openxmlformats.org/drawingml/2006/main">
          <a:off x="5104737" y="39757"/>
          <a:ext cx="626773" cy="576455"/>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l"/>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0.58695</cdr:y>
    </cdr:from>
    <cdr:to>
      <cdr:x>0.10821</cdr:x>
      <cdr:y>0.7723</cdr:y>
    </cdr:to>
    <cdr:sp macro="" textlink="">
      <cdr:nvSpPr>
        <cdr:cNvPr id="2" name="TextBox 1"/>
        <cdr:cNvSpPr txBox="1"/>
      </cdr:nvSpPr>
      <cdr:spPr>
        <a:xfrm xmlns:a="http://schemas.openxmlformats.org/drawingml/2006/main">
          <a:off x="-914400" y="1689142"/>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0.05894</cdr:y>
    </cdr:from>
    <cdr:to>
      <cdr:x>0.1096</cdr:x>
      <cdr:y>0.25297</cdr:y>
    </cdr:to>
    <cdr:sp macro="" textlink="">
      <cdr:nvSpPr>
        <cdr:cNvPr id="3" name="TextBox 3"/>
        <cdr:cNvSpPr txBox="1"/>
      </cdr:nvSpPr>
      <cdr:spPr>
        <a:xfrm xmlns:a="http://schemas.openxmlformats.org/drawingml/2006/main">
          <a:off x="0" y="169630"/>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cdr:x>
      <cdr:y>0</cdr:y>
    </cdr:from>
    <cdr:to>
      <cdr:x>0.1096</cdr:x>
      <cdr:y>0.19554</cdr:y>
    </cdr:to>
    <cdr:sp macro="" textlink="">
      <cdr:nvSpPr>
        <cdr:cNvPr id="2" name="TextBox 3"/>
        <cdr:cNvSpPr txBox="1"/>
      </cdr:nvSpPr>
      <cdr:spPr>
        <a:xfrm xmlns:a="http://schemas.openxmlformats.org/drawingml/2006/main">
          <a:off x="0" y="0"/>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0.58425</cdr:y>
    </cdr:from>
    <cdr:to>
      <cdr:x>0.10821</cdr:x>
      <cdr:y>0.77104</cdr:y>
    </cdr:to>
    <cdr:sp macro="" textlink="">
      <cdr:nvSpPr>
        <cdr:cNvPr id="3" name="TextBox 1"/>
        <cdr:cNvSpPr txBox="1"/>
      </cdr:nvSpPr>
      <cdr:spPr>
        <a:xfrm xmlns:a="http://schemas.openxmlformats.org/drawingml/2006/main">
          <a:off x="0" y="1668380"/>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cdr:x>
      <cdr:y>0.58737</cdr:y>
    </cdr:from>
    <cdr:to>
      <cdr:x>0.10821</cdr:x>
      <cdr:y>0.79066</cdr:y>
    </cdr:to>
    <cdr:sp macro="" textlink="">
      <cdr:nvSpPr>
        <cdr:cNvPr id="2" name="TextBox 1"/>
        <cdr:cNvSpPr txBox="1"/>
      </cdr:nvSpPr>
      <cdr:spPr>
        <a:xfrm xmlns:a="http://schemas.openxmlformats.org/drawingml/2006/main">
          <a:off x="0" y="1541160"/>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cdr:y>
    </cdr:from>
    <cdr:to>
      <cdr:x>0.1096</cdr:x>
      <cdr:y>0.21281</cdr:y>
    </cdr:to>
    <cdr:sp macro="" textlink="">
      <cdr:nvSpPr>
        <cdr:cNvPr id="3" name="TextBox 3"/>
        <cdr:cNvSpPr txBox="1"/>
      </cdr:nvSpPr>
      <cdr:spPr>
        <a:xfrm xmlns:a="http://schemas.openxmlformats.org/drawingml/2006/main">
          <a:off x="-914400" y="0"/>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0.03361</cdr:y>
    </cdr:from>
    <cdr:to>
      <cdr:x>0.11079</cdr:x>
      <cdr:y>0.20351</cdr:y>
    </cdr:to>
    <cdr:sp macro="" textlink="">
      <cdr:nvSpPr>
        <cdr:cNvPr id="2" name="TextBox 3">
          <a:extLst xmlns:a="http://schemas.openxmlformats.org/drawingml/2006/main">
            <a:ext uri="{FF2B5EF4-FFF2-40B4-BE49-F238E27FC236}">
              <a16:creationId xmlns:a16="http://schemas.microsoft.com/office/drawing/2014/main" id="{A418C488-49D2-FC4D-BA57-3ED3642B3841}"/>
            </a:ext>
          </a:extLst>
        </cdr:cNvPr>
        <cdr:cNvSpPr txBox="1"/>
      </cdr:nvSpPr>
      <cdr:spPr>
        <a:xfrm xmlns:a="http://schemas.openxmlformats.org/drawingml/2006/main">
          <a:off x="-914400" y="105508"/>
          <a:ext cx="634999"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0.58377</cdr:y>
    </cdr:from>
    <cdr:to>
      <cdr:x>0.11863</cdr:x>
      <cdr:y>0.75367</cdr:y>
    </cdr:to>
    <cdr:sp macro="" textlink="">
      <cdr:nvSpPr>
        <cdr:cNvPr id="4" name="TextBox 1"/>
        <cdr:cNvSpPr txBox="1"/>
      </cdr:nvSpPr>
      <cdr:spPr>
        <a:xfrm xmlns:a="http://schemas.openxmlformats.org/drawingml/2006/main">
          <a:off x="0" y="1832708"/>
          <a:ext cx="679938"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0.1096</cdr:x>
      <cdr:y>0.19191</cdr:y>
    </cdr:to>
    <cdr:sp macro="" textlink="">
      <cdr:nvSpPr>
        <cdr:cNvPr id="2" name="TextBox 3"/>
        <cdr:cNvSpPr txBox="1"/>
      </cdr:nvSpPr>
      <cdr:spPr>
        <a:xfrm xmlns:a="http://schemas.openxmlformats.org/drawingml/2006/main">
          <a:off x="0" y="0"/>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0.58176</cdr:y>
    </cdr:from>
    <cdr:to>
      <cdr:x>0.11863</cdr:x>
      <cdr:y>0.76509</cdr:y>
    </cdr:to>
    <cdr:sp macro="" textlink="">
      <cdr:nvSpPr>
        <cdr:cNvPr id="3" name="TextBox 1"/>
        <cdr:cNvSpPr txBox="1"/>
      </cdr:nvSpPr>
      <cdr:spPr>
        <a:xfrm xmlns:a="http://schemas.openxmlformats.org/drawingml/2006/main">
          <a:off x="-914400" y="1692677"/>
          <a:ext cx="679938"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0.03901</cdr:y>
    </cdr:from>
    <cdr:to>
      <cdr:x>0.11004</cdr:x>
      <cdr:y>0.21701</cdr:y>
    </cdr:to>
    <cdr:sp macro="" textlink="">
      <cdr:nvSpPr>
        <cdr:cNvPr id="2" name="TextBox 3"/>
        <cdr:cNvSpPr txBox="1"/>
      </cdr:nvSpPr>
      <cdr:spPr>
        <a:xfrm xmlns:a="http://schemas.openxmlformats.org/drawingml/2006/main">
          <a:off x="-914400" y="122362"/>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0.6293</cdr:y>
    </cdr:from>
    <cdr:to>
      <cdr:x>0.10864</cdr:x>
      <cdr:y>0.79934</cdr:y>
    </cdr:to>
    <cdr:sp macro="" textlink="">
      <cdr:nvSpPr>
        <cdr:cNvPr id="3" name="TextBox 1"/>
        <cdr:cNvSpPr txBox="1"/>
      </cdr:nvSpPr>
      <cdr:spPr>
        <a:xfrm xmlns:a="http://schemas.openxmlformats.org/drawingml/2006/main">
          <a:off x="0" y="1974065"/>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0.0235</cdr:y>
    </cdr:from>
    <cdr:to>
      <cdr:x>0.1096</cdr:x>
      <cdr:y>0.2357</cdr:y>
    </cdr:to>
    <cdr:sp macro="" textlink="">
      <cdr:nvSpPr>
        <cdr:cNvPr id="2" name="TextBox 3"/>
        <cdr:cNvSpPr txBox="1"/>
      </cdr:nvSpPr>
      <cdr:spPr>
        <a:xfrm xmlns:a="http://schemas.openxmlformats.org/drawingml/2006/main">
          <a:off x="0" y="61844"/>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0.60934</cdr:y>
    </cdr:from>
    <cdr:to>
      <cdr:x>0.10821</cdr:x>
      <cdr:y>0.81204</cdr:y>
    </cdr:to>
    <cdr:sp macro="" textlink="">
      <cdr:nvSpPr>
        <cdr:cNvPr id="3" name="TextBox 1"/>
        <cdr:cNvSpPr txBox="1"/>
      </cdr:nvSpPr>
      <cdr:spPr>
        <a:xfrm xmlns:a="http://schemas.openxmlformats.org/drawingml/2006/main">
          <a:off x="0" y="1603445"/>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0.00694</cdr:x>
      <cdr:y>0.54322</cdr:y>
    </cdr:from>
    <cdr:to>
      <cdr:x>0.11515</cdr:x>
      <cdr:y>0.71378</cdr:y>
    </cdr:to>
    <cdr:sp macro="" textlink="">
      <cdr:nvSpPr>
        <cdr:cNvPr id="2" name="TextBox 1"/>
        <cdr:cNvSpPr txBox="1"/>
      </cdr:nvSpPr>
      <cdr:spPr>
        <a:xfrm xmlns:a="http://schemas.openxmlformats.org/drawingml/2006/main">
          <a:off x="39757" y="1698861"/>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0.02839</cdr:y>
    </cdr:from>
    <cdr:to>
      <cdr:x>0.1096</cdr:x>
      <cdr:y>0.20694</cdr:y>
    </cdr:to>
    <cdr:sp macro="" textlink="">
      <cdr:nvSpPr>
        <cdr:cNvPr id="3" name="TextBox 3"/>
        <cdr:cNvSpPr txBox="1"/>
      </cdr:nvSpPr>
      <cdr:spPr>
        <a:xfrm xmlns:a="http://schemas.openxmlformats.org/drawingml/2006/main">
          <a:off x="-914400" y="88790"/>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0.02502</cdr:y>
    </cdr:from>
    <cdr:to>
      <cdr:x>0.11034</cdr:x>
      <cdr:y>0.20886</cdr:y>
    </cdr:to>
    <cdr:sp macro="" textlink="">
      <cdr:nvSpPr>
        <cdr:cNvPr id="2" name="TextBox 3"/>
        <cdr:cNvSpPr txBox="1"/>
      </cdr:nvSpPr>
      <cdr:spPr>
        <a:xfrm xmlns:a="http://schemas.openxmlformats.org/drawingml/2006/main">
          <a:off x="-914400" y="75980"/>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cdr:x>
      <cdr:y>0.63105</cdr:y>
    </cdr:from>
    <cdr:to>
      <cdr:x>0.10895</cdr:x>
      <cdr:y>0.80668</cdr:y>
    </cdr:to>
    <cdr:sp macro="" textlink="">
      <cdr:nvSpPr>
        <cdr:cNvPr id="3" name="TextBox 1"/>
        <cdr:cNvSpPr txBox="1"/>
      </cdr:nvSpPr>
      <cdr:spPr>
        <a:xfrm xmlns:a="http://schemas.openxmlformats.org/drawingml/2006/main">
          <a:off x="0" y="1916639"/>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0.61531</cdr:y>
    </cdr:from>
    <cdr:to>
      <cdr:x>0.10821</cdr:x>
      <cdr:y>0.80548</cdr:y>
    </cdr:to>
    <cdr:sp macro="" textlink="">
      <cdr:nvSpPr>
        <cdr:cNvPr id="2" name="TextBox 1"/>
        <cdr:cNvSpPr txBox="1"/>
      </cdr:nvSpPr>
      <cdr:spPr>
        <a:xfrm xmlns:a="http://schemas.openxmlformats.org/drawingml/2006/main">
          <a:off x="0" y="1725807"/>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1.74474E-7</cdr:x>
      <cdr:y>0.03386</cdr:y>
    </cdr:from>
    <cdr:to>
      <cdr:x>0.1096</cdr:x>
      <cdr:y>0.23294</cdr:y>
    </cdr:to>
    <cdr:sp macro="" textlink="">
      <cdr:nvSpPr>
        <cdr:cNvPr id="3" name="TextBox 3"/>
        <cdr:cNvSpPr txBox="1"/>
      </cdr:nvSpPr>
      <cdr:spPr>
        <a:xfrm xmlns:a="http://schemas.openxmlformats.org/drawingml/2006/main">
          <a:off x="1" y="94975"/>
          <a:ext cx="628152"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0.03346</cdr:y>
    </cdr:from>
    <cdr:to>
      <cdr:x>0.11018</cdr:x>
      <cdr:y>0.23018</cdr:y>
    </cdr:to>
    <cdr:sp macro="" textlink="">
      <cdr:nvSpPr>
        <cdr:cNvPr id="2" name="TextBox 3"/>
        <cdr:cNvSpPr txBox="1"/>
      </cdr:nvSpPr>
      <cdr:spPr>
        <a:xfrm xmlns:a="http://schemas.openxmlformats.org/drawingml/2006/main">
          <a:off x="0" y="94975"/>
          <a:ext cx="628153" cy="558382"/>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Maximum</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a:t>
          </a: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dr:relSizeAnchor xmlns:cdr="http://schemas.openxmlformats.org/drawingml/2006/chartDrawing">
    <cdr:from>
      <cdr:x>0.00891</cdr:x>
      <cdr:y>0.62591</cdr:y>
    </cdr:from>
    <cdr:to>
      <cdr:x>0.1177</cdr:x>
      <cdr:y>0.81383</cdr:y>
    </cdr:to>
    <cdr:sp macro="" textlink="">
      <cdr:nvSpPr>
        <cdr:cNvPr id="3" name="TextBox 1"/>
        <cdr:cNvSpPr txBox="1"/>
      </cdr:nvSpPr>
      <cdr:spPr>
        <a:xfrm xmlns:a="http://schemas.openxmlformats.org/drawingml/2006/main">
          <a:off x="50800" y="1776607"/>
          <a:ext cx="620202" cy="53340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r"/>
          <a:r>
            <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Minimum spillover</a:t>
          </a:r>
          <a:r>
            <a:rPr lang="en-GB" sz="7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rPr>
            <a:t> risk</a:t>
          </a:r>
          <a:endParaRPr lang="en-GB" sz="70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6B60DF748E44C8B119F79DE2EE58A" ma:contentTypeVersion="12" ma:contentTypeDescription="Create a new document." ma:contentTypeScope="" ma:versionID="9b871e45f6515b1ff54ce199a073cb40">
  <xsd:schema xmlns:xsd="http://www.w3.org/2001/XMLSchema" xmlns:xs="http://www.w3.org/2001/XMLSchema" xmlns:p="http://schemas.microsoft.com/office/2006/metadata/properties" xmlns:ns2="a1f5e52f-5db6-4aed-a7d5-4e2012bf2055" xmlns:ns3="271afa4c-0d36-4de2-98f2-c7eec1aa6a46" targetNamespace="http://schemas.microsoft.com/office/2006/metadata/properties" ma:root="true" ma:fieldsID="8cd439fa9e3daf197e5d98d2b33f270a" ns2:_="" ns3:_="">
    <xsd:import namespace="a1f5e52f-5db6-4aed-a7d5-4e2012bf2055"/>
    <xsd:import namespace="271afa4c-0d36-4de2-98f2-c7eec1aa6a46"/>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5e52f-5db6-4aed-a7d5-4e2012bf20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afa4c-0d36-4de2-98f2-c7eec1aa6a4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DC63-C249-4661-A75D-D0D5BFC55F77}">
  <ds:schemaRefs>
    <ds:schemaRef ds:uri="http://schemas.microsoft.com/sharepoint/v3/contenttype/forms"/>
  </ds:schemaRefs>
</ds:datastoreItem>
</file>

<file path=customXml/itemProps2.xml><?xml version="1.0" encoding="utf-8"?>
<ds:datastoreItem xmlns:ds="http://schemas.openxmlformats.org/officeDocument/2006/customXml" ds:itemID="{1CFDD7BD-6BB4-4761-8E04-41AFE9CD3B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FC9422-0322-4163-B0EE-D85AF271E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5e52f-5db6-4aed-a7d5-4e2012bf2055"/>
    <ds:schemaRef ds:uri="271afa4c-0d36-4de2-98f2-c7eec1aa6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184EF-6D99-2444-9311-C21EAA24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37442</Words>
  <Characters>213425</Characters>
  <Application>Microsoft Office Word</Application>
  <DocSecurity>0</DocSecurity>
  <Lines>1778</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250367</CharactersWithSpaces>
  <SharedDoc>false</SharedDoc>
  <HLinks>
    <vt:vector size="54" baseType="variant">
      <vt:variant>
        <vt:i4>5046358</vt:i4>
      </vt:variant>
      <vt:variant>
        <vt:i4>99</vt:i4>
      </vt:variant>
      <vt:variant>
        <vt:i4>0</vt:i4>
      </vt:variant>
      <vt:variant>
        <vt:i4>5</vt:i4>
      </vt:variant>
      <vt:variant>
        <vt:lpwstr>http://www.taxjustice.net/cms/upload/pdf/Privy_Council_and_Secrecy_Scores.pdf</vt:lpwstr>
      </vt:variant>
      <vt:variant>
        <vt:lpwstr/>
      </vt:variant>
      <vt:variant>
        <vt:i4>786434</vt:i4>
      </vt:variant>
      <vt:variant>
        <vt:i4>21</vt:i4>
      </vt:variant>
      <vt:variant>
        <vt:i4>0</vt:i4>
      </vt:variant>
      <vt:variant>
        <vt:i4>5</vt:i4>
      </vt:variant>
      <vt:variant>
        <vt:lpwstr>https://www.taxjustice.net/2019/12/04/will-the-oecd-tax-reforms-collapse-three-scenarios/</vt:lpwstr>
      </vt:variant>
      <vt:variant>
        <vt:lpwstr/>
      </vt:variant>
      <vt:variant>
        <vt:i4>131078</vt:i4>
      </vt:variant>
      <vt:variant>
        <vt:i4>18</vt:i4>
      </vt:variant>
      <vt:variant>
        <vt:i4>0</vt:i4>
      </vt:variant>
      <vt:variant>
        <vt:i4>5</vt:i4>
      </vt:variant>
      <vt:variant>
        <vt:lpwstr>https://www.taxjustice.net/2020/01/31/a-pyrrhic-victory-for-the-oecd/</vt:lpwstr>
      </vt:variant>
      <vt:variant>
        <vt:lpwstr/>
      </vt:variant>
      <vt:variant>
        <vt:i4>3276913</vt:i4>
      </vt:variant>
      <vt:variant>
        <vt:i4>15</vt:i4>
      </vt:variant>
      <vt:variant>
        <vt:i4>0</vt:i4>
      </vt:variant>
      <vt:variant>
        <vt:i4>5</vt:i4>
      </vt:variant>
      <vt:variant>
        <vt:lpwstr>https://www.taxjustice.net/2019/11/21/a-historic-day-for-unitary-taxation/</vt:lpwstr>
      </vt:variant>
      <vt:variant>
        <vt:lpwstr/>
      </vt:variant>
      <vt:variant>
        <vt:i4>3670026</vt:i4>
      </vt:variant>
      <vt:variant>
        <vt:i4>12</vt:i4>
      </vt:variant>
      <vt:variant>
        <vt:i4>0</vt:i4>
      </vt:variant>
      <vt:variant>
        <vt:i4>5</vt:i4>
      </vt:variant>
      <vt:variant>
        <vt:lpwstr>mailto:rachel@taxjustice.net</vt:lpwstr>
      </vt:variant>
      <vt:variant>
        <vt:lpwstr/>
      </vt:variant>
      <vt:variant>
        <vt:i4>3080288</vt:i4>
      </vt:variant>
      <vt:variant>
        <vt:i4>9</vt:i4>
      </vt:variant>
      <vt:variant>
        <vt:i4>0</vt:i4>
      </vt:variant>
      <vt:variant>
        <vt:i4>5</vt:i4>
      </vt:variant>
      <vt:variant>
        <vt:lpwstr>http://www.oecd.org/tax/beps/programme-of-work-to-develop-a-consensus-solution-to-the-tax-challenges-arising-from-the-digitalisation-of-the-economy.pdf</vt:lpwstr>
      </vt:variant>
      <vt:variant>
        <vt:lpwstr/>
      </vt:variant>
      <vt:variant>
        <vt:i4>3276913</vt:i4>
      </vt:variant>
      <vt:variant>
        <vt:i4>6</vt:i4>
      </vt:variant>
      <vt:variant>
        <vt:i4>0</vt:i4>
      </vt:variant>
      <vt:variant>
        <vt:i4>5</vt:i4>
      </vt:variant>
      <vt:variant>
        <vt:lpwstr>https://www.taxjustice.net/2019/11/21/a-historic-day-for-unitary-taxation/</vt:lpwstr>
      </vt:variant>
      <vt:variant>
        <vt:lpwstr/>
      </vt:variant>
      <vt:variant>
        <vt:i4>3932274</vt:i4>
      </vt:variant>
      <vt:variant>
        <vt:i4>3</vt:i4>
      </vt:variant>
      <vt:variant>
        <vt:i4>0</vt:i4>
      </vt:variant>
      <vt:variant>
        <vt:i4>5</vt:i4>
      </vt:variant>
      <vt:variant>
        <vt:lpwstr>https://www.corporatetaxhavenindex.org/database/Tanzania.xml</vt:lpwstr>
      </vt:variant>
      <vt:variant>
        <vt:lpwstr>t62</vt:lpwstr>
      </vt:variant>
      <vt:variant>
        <vt:i4>3670026</vt:i4>
      </vt:variant>
      <vt:variant>
        <vt:i4>0</vt:i4>
      </vt:variant>
      <vt:variant>
        <vt:i4>0</vt:i4>
      </vt:variant>
      <vt:variant>
        <vt:i4>5</vt:i4>
      </vt:variant>
      <vt:variant>
        <vt:lpwstr>mailto:rachel@taxjustice.net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2020-07-01T13:56:00Z</dcterms:created>
  <dcterms:modified xsi:type="dcterms:W3CDTF">2020-08-19T21:03:00Z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0x0101007726B60DF748E44C8B119F79DE2EE58A</vt:lpwstr>
  </property>
  <property fmtid="{D5CDD505-2E9C-101B-9397-08002B2CF9AE}" pid="3" name="ZOTERO_PREF_1">
    <vt:lpwstr>&lt;data data-version="3" zotero-version="5.0.88"&gt;&lt;session id="LppWUde1"/&gt;&lt;style id="http://www.zotero.org/styles/apa" locale="en-GB" hasBibliography="1" bibliographyStyleHasBeenSet="1"/&gt;&lt;prefs&gt;&lt;pref name="fieldType" value="Field"/&gt;&lt;/prefs&gt;&lt;/data&gt;</vt:lpwstr>
  </property>
</Properties>
</file>